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0" w:type="dxa"/>
        <w:tblLayout w:type="autofit"/>
        <w:tblCellMar>
          <w:top w:w="0" w:type="dxa"/>
          <w:left w:w="0" w:type="dxa"/>
          <w:bottom w:w="0" w:type="dxa"/>
          <w:right w:w="0" w:type="dxa"/>
        </w:tblCellMar>
      </w:tblPr>
      <w:tblGrid>
        <w:gridCol w:w="1908"/>
        <w:gridCol w:w="6614"/>
      </w:tblGrid>
      <w:tr>
        <w:tblPrEx>
          <w:tblCellMar>
            <w:top w:w="0" w:type="dxa"/>
            <w:left w:w="0" w:type="dxa"/>
            <w:bottom w:w="0" w:type="dxa"/>
            <w:right w:w="0" w:type="dxa"/>
          </w:tblCellMar>
        </w:tblPrEx>
        <w:trPr>
          <w:cantSplit/>
          <w:trHeight w:val="432" w:hRule="atLeast"/>
        </w:trPr>
        <w:tc>
          <w:tcPr>
            <w:tcW w:w="1908"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jc w:val="center"/>
            </w:pPr>
            <w:r>
              <w:rPr>
                <w:rFonts w:hint="eastAsia" w:ascii="宋体" w:hAnsi="宋体"/>
                <w:sz w:val="24"/>
                <w:szCs w:val="24"/>
              </w:rPr>
              <w:t>学科、专业名称</w:t>
            </w:r>
          </w:p>
        </w:tc>
        <w:tc>
          <w:tcPr>
            <w:tcW w:w="6614"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r>
              <w:rPr>
                <w:rFonts w:hint="eastAsia" w:ascii="宋体" w:hAnsi="宋体"/>
                <w:sz w:val="24"/>
                <w:szCs w:val="24"/>
              </w:rPr>
              <w:t>成人教育学</w:t>
            </w:r>
          </w:p>
        </w:tc>
      </w:tr>
      <w:tr>
        <w:tblPrEx>
          <w:tblCellMar>
            <w:top w:w="0" w:type="dxa"/>
            <w:left w:w="0" w:type="dxa"/>
            <w:bottom w:w="0" w:type="dxa"/>
            <w:right w:w="0" w:type="dxa"/>
          </w:tblCellMar>
        </w:tblPrEx>
        <w:trPr>
          <w:cantSplit/>
          <w:trHeight w:val="11840" w:hRule="atLeast"/>
        </w:trPr>
        <w:tc>
          <w:tcPr>
            <w:tcW w:w="852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pPr>
              <w:ind w:left="1680" w:hanging="1680"/>
            </w:pPr>
            <w:r>
              <w:rPr>
                <w:rFonts w:hint="eastAsia" w:ascii="宋体" w:hAnsi="宋体"/>
              </w:rPr>
              <w:t>学科、专业简介（导师、研究方向及其特色、学术地位、研究成果、在研项目、课程设置、就业去向等方面）：</w:t>
            </w:r>
          </w:p>
          <w:p>
            <w:pPr>
              <w:ind w:firstLine="420" w:firstLineChars="200"/>
              <w:rPr>
                <w:rFonts w:ascii="宋体" w:hAnsi="宋体"/>
              </w:rPr>
            </w:pPr>
            <w:r>
              <w:rPr>
                <w:rFonts w:hint="eastAsia" w:ascii="宋体" w:hAnsi="宋体"/>
              </w:rPr>
              <w:t>成人教育学是教育学一级学科下设的二级学科，专业代码为 040107 。现有导师</w:t>
            </w:r>
            <w:r>
              <w:rPr>
                <w:rFonts w:hint="eastAsia" w:ascii="宋体" w:hAnsi="宋体"/>
                <w:lang w:val="en-US" w:eastAsia="zh-CN"/>
              </w:rPr>
              <w:t>5</w:t>
            </w:r>
            <w:r>
              <w:rPr>
                <w:rFonts w:hint="eastAsia" w:ascii="宋体" w:hAnsi="宋体"/>
              </w:rPr>
              <w:t>人，其中教授（研究员）</w:t>
            </w:r>
            <w:r>
              <w:rPr>
                <w:rFonts w:hint="eastAsia" w:ascii="宋体" w:hAnsi="宋体"/>
                <w:lang w:val="en-US" w:eastAsia="zh-CN"/>
              </w:rPr>
              <w:t>2</w:t>
            </w:r>
            <w:r>
              <w:rPr>
                <w:rFonts w:hint="eastAsia" w:ascii="宋体" w:hAnsi="宋体"/>
              </w:rPr>
              <w:t>人，副教授</w:t>
            </w:r>
            <w:r>
              <w:rPr>
                <w:rFonts w:hint="eastAsia" w:ascii="宋体" w:hAnsi="宋体"/>
                <w:lang w:val="en-US" w:eastAsia="zh-CN"/>
              </w:rPr>
              <w:t>4</w:t>
            </w:r>
            <w:r>
              <w:rPr>
                <w:rFonts w:hint="eastAsia" w:ascii="宋体" w:hAnsi="宋体"/>
              </w:rPr>
              <w:t>人，均具有博士学位。另有</w:t>
            </w:r>
            <w:r>
              <w:rPr>
                <w:rFonts w:hint="eastAsia" w:ascii="宋体" w:hAnsi="宋体"/>
                <w:lang w:val="en-US" w:eastAsia="zh-CN"/>
              </w:rPr>
              <w:t>3</w:t>
            </w:r>
            <w:r>
              <w:rPr>
                <w:rFonts w:hint="eastAsia" w:ascii="宋体" w:hAnsi="宋体"/>
              </w:rPr>
              <w:t>位年轻</w:t>
            </w:r>
            <w:r>
              <w:rPr>
                <w:rFonts w:hint="eastAsia" w:ascii="宋体" w:hAnsi="宋体"/>
                <w:lang w:val="en-US" w:eastAsia="zh-CN"/>
              </w:rPr>
              <w:t>博士（</w:t>
            </w:r>
            <w:r>
              <w:rPr>
                <w:rFonts w:hint="eastAsia" w:ascii="宋体" w:hAnsi="宋体"/>
              </w:rPr>
              <w:t>讲师</w:t>
            </w:r>
            <w:r>
              <w:rPr>
                <w:rFonts w:hint="eastAsia" w:ascii="宋体" w:hAnsi="宋体"/>
                <w:lang w:eastAsia="zh-CN"/>
              </w:rPr>
              <w:t>）</w:t>
            </w:r>
            <w:r>
              <w:rPr>
                <w:rFonts w:hint="eastAsia" w:ascii="宋体" w:hAnsi="宋体"/>
              </w:rPr>
              <w:t>担任部分课程的教学任务并指导研究生开展各项科学研究和教学实践。学位点负责人徐雄伟研究员现任学院教师发展中心常务副主任，担任中国成人教育协会学术委员会常务副主任。</w:t>
            </w:r>
          </w:p>
          <w:p>
            <w:pPr>
              <w:ind w:firstLine="420" w:firstLineChars="200"/>
              <w:rPr>
                <w:rFonts w:ascii="宋体" w:hAnsi="宋体"/>
              </w:rPr>
            </w:pPr>
            <w:r>
              <w:rPr>
                <w:rFonts w:hint="eastAsia" w:ascii="宋体" w:hAnsi="宋体"/>
              </w:rPr>
              <w:t>在全球终身学习浪潮和建设学习型社会的背景之下，我国社会教育、社区教育、成人职业教育等发展迅速，各类服务于全民终身学习的教育机构急需高层次的成人教育研究和管理人才。本学科即是适应社会发展需要而设立的、具有良好发展前景的二级学科硕士点，主要培养适应我国社会和教育发展需要，德、智、体诸方面全面发展，能够到各级教育行政机关和大专院校的相关部门、成人教育机构等从事成人教育研究、教学和管理工作、以及到企事业单位从事人力资源管理和教育培训等相关工作的专门人才。</w:t>
            </w:r>
          </w:p>
          <w:p>
            <w:pPr>
              <w:ind w:firstLine="420" w:firstLineChars="200"/>
              <w:rPr>
                <w:rFonts w:hint="eastAsia" w:ascii="宋体" w:hAnsi="宋体" w:eastAsia="宋体"/>
                <w:lang w:eastAsia="zh-CN"/>
              </w:rPr>
            </w:pPr>
            <w:r>
              <w:rPr>
                <w:rFonts w:hint="eastAsia" w:ascii="宋体" w:hAnsi="宋体"/>
              </w:rPr>
              <w:t>近年来，学位点不断优化人才培养方案，探索和实践“项目学习”“案例学习”的教学模式，积极鼓励学生参与导师组领衔的各类教师培训项目和社会实践。在专业学习的同时，学位点主动对接基层成人教育机构，为研究生创设更多的实践学习机会，与上海老年大学、黄浦区社区学院、长宁区社区学院、静安区社区学院、杨浦区社区学院、徐汇区社区学院共建研究生实践基地。以本学科点研究生为主的团队，</w:t>
            </w:r>
            <w:r>
              <w:rPr>
                <w:rFonts w:hint="eastAsia" w:ascii="宋体" w:hAnsi="宋体"/>
                <w:lang w:val="en-US" w:eastAsia="zh-CN"/>
              </w:rPr>
              <w:t>获得</w:t>
            </w:r>
            <w:r>
              <w:rPr>
                <w:rFonts w:hint="eastAsia" w:ascii="宋体" w:hAnsi="宋体"/>
              </w:rPr>
              <w:t>第十六届“挑战杯”全国大学生课外学术科技作品竞赛特等奖</w:t>
            </w:r>
            <w:r>
              <w:rPr>
                <w:rFonts w:hint="eastAsia" w:ascii="宋体" w:hAnsi="宋体"/>
                <w:lang w:eastAsia="zh-CN"/>
              </w:rPr>
              <w:t>，第六届中国青年志愿服务项目大赛银奖。</w:t>
            </w:r>
          </w:p>
          <w:p>
            <w:pPr>
              <w:ind w:firstLine="420" w:firstLineChars="200"/>
              <w:rPr>
                <w:rFonts w:ascii="宋体" w:hAnsi="宋体"/>
              </w:rPr>
            </w:pPr>
            <w:r>
              <w:rPr>
                <w:rFonts w:hint="eastAsia" w:ascii="宋体" w:hAnsi="宋体"/>
              </w:rPr>
              <w:t>一、导师队伍</w:t>
            </w:r>
          </w:p>
          <w:p>
            <w:pPr>
              <w:ind w:firstLine="420" w:firstLineChars="200"/>
              <w:rPr>
                <w:rFonts w:ascii="宋体" w:hAnsi="宋体"/>
              </w:rPr>
            </w:pPr>
            <w:r>
              <w:rPr>
                <w:rFonts w:hint="eastAsia" w:ascii="宋体" w:hAnsi="宋体"/>
              </w:rPr>
              <w:t>学位点负责人：徐雄伟研究员（上海师范大学）</w:t>
            </w:r>
          </w:p>
          <w:p>
            <w:pPr>
              <w:ind w:firstLine="420" w:firstLineChars="200"/>
              <w:rPr>
                <w:rFonts w:ascii="宋体" w:hAnsi="宋体"/>
              </w:rPr>
            </w:pPr>
            <w:r>
              <w:rPr>
                <w:rFonts w:hint="eastAsia" w:ascii="宋体" w:hAnsi="宋体"/>
              </w:rPr>
              <w:t>主要学术骨干：</w:t>
            </w:r>
          </w:p>
          <w:p>
            <w:pPr>
              <w:ind w:firstLine="420" w:firstLineChars="200"/>
              <w:rPr>
                <w:rFonts w:ascii="宋体" w:hAnsi="宋体"/>
              </w:rPr>
            </w:pPr>
            <w:r>
              <w:rPr>
                <w:rFonts w:hint="eastAsia" w:ascii="宋体" w:hAnsi="宋体"/>
              </w:rPr>
              <w:t>关  晶教授  （上海师范大学）</w:t>
            </w:r>
          </w:p>
          <w:p>
            <w:pPr>
              <w:ind w:firstLine="420" w:firstLineChars="200"/>
              <w:rPr>
                <w:rFonts w:hint="eastAsia" w:ascii="宋体" w:hAnsi="宋体"/>
              </w:rPr>
            </w:pPr>
            <w:r>
              <w:rPr>
                <w:rFonts w:hint="eastAsia" w:ascii="宋体" w:hAnsi="宋体"/>
              </w:rPr>
              <w:t>马颂歌副教授（上海师范大学）</w:t>
            </w:r>
          </w:p>
          <w:p>
            <w:pPr>
              <w:ind w:firstLine="420" w:firstLineChars="200"/>
              <w:rPr>
                <w:rFonts w:hint="default" w:ascii="宋体" w:hAnsi="宋体" w:eastAsia="宋体"/>
                <w:lang w:val="en-US" w:eastAsia="zh-CN"/>
              </w:rPr>
            </w:pPr>
            <w:r>
              <w:rPr>
                <w:rFonts w:hint="eastAsia" w:ascii="宋体" w:hAnsi="宋体"/>
                <w:lang w:val="en-US" w:eastAsia="zh-CN"/>
              </w:rPr>
              <w:t>张艳辉副教授（上海师范大学）</w:t>
            </w:r>
          </w:p>
          <w:p>
            <w:pPr>
              <w:ind w:firstLine="420" w:firstLineChars="200"/>
              <w:rPr>
                <w:rFonts w:ascii="宋体" w:hAnsi="宋体"/>
              </w:rPr>
            </w:pPr>
            <w:r>
              <w:rPr>
                <w:rFonts w:hint="eastAsia" w:ascii="宋体" w:hAnsi="宋体"/>
                <w:lang w:val="en-US" w:eastAsia="zh-CN"/>
              </w:rPr>
              <w:t>刘雅婷</w:t>
            </w:r>
            <w:r>
              <w:rPr>
                <w:rFonts w:hint="eastAsia" w:ascii="宋体" w:hAnsi="宋体"/>
              </w:rPr>
              <w:t>副教授（上海师范大学）</w:t>
            </w:r>
          </w:p>
          <w:p>
            <w:pPr>
              <w:ind w:firstLine="420" w:firstLineChars="200"/>
              <w:rPr>
                <w:rFonts w:ascii="宋体" w:hAnsi="宋体"/>
              </w:rPr>
            </w:pPr>
            <w:r>
              <w:rPr>
                <w:rFonts w:hint="eastAsia" w:ascii="宋体" w:hAnsi="宋体"/>
              </w:rPr>
              <w:t>国卉男副研究员（上海市教育科学研究院）</w:t>
            </w:r>
          </w:p>
          <w:p>
            <w:pPr>
              <w:ind w:firstLine="420" w:firstLineChars="200"/>
              <w:rPr>
                <w:rFonts w:hint="eastAsia" w:ascii="宋体" w:hAnsi="宋体"/>
              </w:rPr>
            </w:pPr>
            <w:r>
              <w:rPr>
                <w:rFonts w:hint="eastAsia" w:ascii="宋体" w:hAnsi="宋体"/>
              </w:rPr>
              <w:t>张国平博士（上海师范大学）</w:t>
            </w:r>
          </w:p>
          <w:p>
            <w:pPr>
              <w:ind w:firstLine="420" w:firstLineChars="200"/>
              <w:rPr>
                <w:rFonts w:hint="eastAsia" w:ascii="宋体" w:hAnsi="宋体"/>
                <w:lang w:val="en-US" w:eastAsia="zh-CN"/>
              </w:rPr>
            </w:pPr>
            <w:r>
              <w:rPr>
                <w:rFonts w:hint="eastAsia" w:ascii="宋体" w:hAnsi="宋体"/>
                <w:lang w:val="en-US" w:eastAsia="zh-CN"/>
              </w:rPr>
              <w:t>樊晓杰博士（上海师范大学）</w:t>
            </w:r>
          </w:p>
          <w:p>
            <w:pPr>
              <w:ind w:firstLine="420" w:firstLineChars="200"/>
              <w:rPr>
                <w:rFonts w:hint="default" w:ascii="宋体" w:hAnsi="宋体"/>
                <w:lang w:val="en-US" w:eastAsia="zh-CN"/>
              </w:rPr>
            </w:pPr>
            <w:r>
              <w:rPr>
                <w:rFonts w:hint="eastAsia" w:ascii="宋体" w:hAnsi="宋体"/>
                <w:lang w:val="en-US" w:eastAsia="zh-CN"/>
              </w:rPr>
              <w:t>刘鑫鑫博士（上海师范大学）</w:t>
            </w:r>
          </w:p>
          <w:p>
            <w:pPr>
              <w:rPr>
                <w:rFonts w:ascii="宋体" w:hAnsi="宋体"/>
              </w:rPr>
            </w:pPr>
            <w:r>
              <w:rPr>
                <w:rFonts w:hint="eastAsia" w:ascii="宋体" w:hAnsi="宋体"/>
              </w:rPr>
              <w:t xml:space="preserve">    二、主要研究方向</w:t>
            </w:r>
          </w:p>
          <w:p>
            <w:pPr>
              <w:pStyle w:val="12"/>
              <w:numPr>
                <w:ilvl w:val="0"/>
                <w:numId w:val="1"/>
              </w:numPr>
              <w:rPr>
                <w:rFonts w:ascii="宋体" w:hAnsi="宋体" w:eastAsia="宋体"/>
                <w:sz w:val="21"/>
                <w:szCs w:val="21"/>
              </w:rPr>
            </w:pPr>
            <w:r>
              <w:rPr>
                <w:rFonts w:hint="eastAsia" w:ascii="宋体" w:hAnsi="宋体" w:eastAsia="宋体"/>
                <w:sz w:val="21"/>
                <w:szCs w:val="21"/>
              </w:rPr>
              <w:t>成人教育理论；</w:t>
            </w:r>
          </w:p>
          <w:p>
            <w:pPr>
              <w:pStyle w:val="12"/>
              <w:numPr>
                <w:ilvl w:val="0"/>
                <w:numId w:val="1"/>
              </w:numPr>
              <w:rPr>
                <w:rFonts w:ascii="宋体" w:hAnsi="宋体" w:eastAsia="宋体"/>
                <w:sz w:val="21"/>
                <w:szCs w:val="21"/>
              </w:rPr>
            </w:pPr>
            <w:r>
              <w:rPr>
                <w:rFonts w:hint="eastAsia" w:ascii="宋体" w:hAnsi="宋体" w:eastAsia="宋体"/>
                <w:sz w:val="21"/>
                <w:szCs w:val="21"/>
              </w:rPr>
              <w:t>终身教育政策；</w:t>
            </w:r>
          </w:p>
          <w:p>
            <w:pPr>
              <w:pStyle w:val="12"/>
              <w:numPr>
                <w:ilvl w:val="0"/>
                <w:numId w:val="1"/>
              </w:numPr>
              <w:rPr>
                <w:rFonts w:ascii="宋体" w:hAnsi="宋体" w:eastAsia="宋体"/>
                <w:sz w:val="21"/>
                <w:szCs w:val="21"/>
              </w:rPr>
            </w:pPr>
            <w:r>
              <w:rPr>
                <w:rFonts w:hint="eastAsia" w:ascii="宋体" w:hAnsi="宋体" w:eastAsia="宋体"/>
                <w:sz w:val="21"/>
                <w:szCs w:val="21"/>
              </w:rPr>
              <w:t>教师专业发展；</w:t>
            </w:r>
          </w:p>
          <w:p>
            <w:pPr>
              <w:pStyle w:val="12"/>
              <w:numPr>
                <w:ilvl w:val="0"/>
                <w:numId w:val="1"/>
              </w:numPr>
              <w:rPr>
                <w:rFonts w:ascii="宋体" w:hAnsi="宋体" w:eastAsia="宋体"/>
                <w:sz w:val="21"/>
                <w:szCs w:val="21"/>
              </w:rPr>
            </w:pPr>
            <w:r>
              <w:rPr>
                <w:rFonts w:hint="eastAsia" w:ascii="宋体" w:hAnsi="宋体" w:eastAsia="宋体"/>
                <w:sz w:val="21"/>
                <w:szCs w:val="21"/>
              </w:rPr>
              <w:t>家庭与社会教育</w:t>
            </w:r>
          </w:p>
          <w:p>
            <w:pPr>
              <w:ind w:firstLine="420" w:firstLineChars="200"/>
              <w:rPr>
                <w:rFonts w:ascii="宋体" w:hAnsi="宋体"/>
              </w:rPr>
            </w:pPr>
            <w:r>
              <w:rPr>
                <w:rFonts w:hint="eastAsia" w:ascii="宋体" w:hAnsi="宋体"/>
              </w:rPr>
              <w:t>三、主要课程设置</w:t>
            </w:r>
          </w:p>
          <w:p>
            <w:pPr>
              <w:ind w:firstLine="420" w:firstLineChars="200"/>
              <w:rPr>
                <w:rFonts w:ascii="宋体" w:hAnsi="宋体"/>
              </w:rPr>
            </w:pPr>
            <w:r>
              <w:rPr>
                <w:rFonts w:hint="eastAsia" w:ascii="宋体" w:hAnsi="宋体"/>
              </w:rPr>
              <w:t>成人教育原理</w:t>
            </w:r>
            <w:r>
              <w:rPr>
                <w:rFonts w:hint="eastAsia" w:ascii="宋体" w:hAnsi="宋体" w:cs="宋体"/>
              </w:rPr>
              <w:t>、教育研究方法导论</w:t>
            </w:r>
            <w:bookmarkStart w:id="0" w:name="_GoBack"/>
            <w:bookmarkEnd w:id="0"/>
            <w:r>
              <w:rPr>
                <w:rFonts w:hint="eastAsia" w:ascii="宋体" w:hAnsi="宋体" w:cs="宋体"/>
              </w:rPr>
              <w:t>、定量研究方法、质性研究方法、</w:t>
            </w:r>
            <w:r>
              <w:rPr>
                <w:rFonts w:hint="eastAsia" w:ascii="宋体" w:hAnsi="宋体"/>
              </w:rPr>
              <w:t>成人教育的国际比较、成人教育课程设计与开发、教师发展与培训、终身教育政策研究、家庭与社会教育、成人教育管理、专业外语、人力资源管理、老年教育理论与实务、社区教育理论与实务、教师教育国际比较、成人职业技能培训</w:t>
            </w:r>
            <w:r>
              <w:rPr>
                <w:rFonts w:hint="eastAsia" w:ascii="宋体" w:hAnsi="宋体"/>
                <w:lang w:eastAsia="zh-CN"/>
              </w:rPr>
              <w:t>、</w:t>
            </w:r>
            <w:r>
              <w:rPr>
                <w:rFonts w:hint="eastAsia" w:ascii="宋体" w:hAnsi="宋体"/>
                <w:lang w:val="en-US" w:eastAsia="zh-CN"/>
              </w:rPr>
              <w:t>高校教师专业发展专题</w:t>
            </w:r>
            <w:r>
              <w:rPr>
                <w:rFonts w:hint="eastAsia" w:ascii="宋体" w:hAnsi="宋体"/>
              </w:rPr>
              <w:t>等。</w:t>
            </w:r>
          </w:p>
          <w:p>
            <w:pPr>
              <w:ind w:firstLine="420"/>
            </w:pPr>
          </w:p>
        </w:tc>
      </w:tr>
    </w:tbl>
    <w:p>
      <w: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936A62"/>
    <w:multiLevelType w:val="multilevel"/>
    <w:tmpl w:val="5B936A62"/>
    <w:lvl w:ilvl="0" w:tentative="0">
      <w:start w:val="1"/>
      <w:numFmt w:val="decimal"/>
      <w:lvlText w:val="%1."/>
      <w:lvlJc w:val="left"/>
      <w:pPr>
        <w:ind w:left="1200" w:hanging="360"/>
      </w:pPr>
      <w:rPr>
        <w:rFonts w:hint="default"/>
      </w:rPr>
    </w:lvl>
    <w:lvl w:ilvl="1" w:tentative="0">
      <w:start w:val="1"/>
      <w:numFmt w:val="lowerLetter"/>
      <w:lvlText w:val="%2."/>
      <w:lvlJc w:val="left"/>
      <w:pPr>
        <w:ind w:left="1920" w:hanging="360"/>
      </w:pPr>
    </w:lvl>
    <w:lvl w:ilvl="2" w:tentative="0">
      <w:start w:val="1"/>
      <w:numFmt w:val="lowerRoman"/>
      <w:lvlText w:val="%3."/>
      <w:lvlJc w:val="right"/>
      <w:pPr>
        <w:ind w:left="2640" w:hanging="180"/>
      </w:pPr>
    </w:lvl>
    <w:lvl w:ilvl="3" w:tentative="0">
      <w:start w:val="1"/>
      <w:numFmt w:val="decimal"/>
      <w:lvlText w:val="%4."/>
      <w:lvlJc w:val="left"/>
      <w:pPr>
        <w:ind w:left="3360" w:hanging="360"/>
      </w:pPr>
    </w:lvl>
    <w:lvl w:ilvl="4" w:tentative="0">
      <w:start w:val="1"/>
      <w:numFmt w:val="lowerLetter"/>
      <w:lvlText w:val="%5."/>
      <w:lvlJc w:val="left"/>
      <w:pPr>
        <w:ind w:left="4080" w:hanging="360"/>
      </w:pPr>
    </w:lvl>
    <w:lvl w:ilvl="5" w:tentative="0">
      <w:start w:val="1"/>
      <w:numFmt w:val="lowerRoman"/>
      <w:lvlText w:val="%6."/>
      <w:lvlJc w:val="right"/>
      <w:pPr>
        <w:ind w:left="4800" w:hanging="180"/>
      </w:pPr>
    </w:lvl>
    <w:lvl w:ilvl="6" w:tentative="0">
      <w:start w:val="1"/>
      <w:numFmt w:val="decimal"/>
      <w:lvlText w:val="%7."/>
      <w:lvlJc w:val="left"/>
      <w:pPr>
        <w:ind w:left="5520" w:hanging="360"/>
      </w:pPr>
    </w:lvl>
    <w:lvl w:ilvl="7" w:tentative="0">
      <w:start w:val="1"/>
      <w:numFmt w:val="lowerLetter"/>
      <w:lvlText w:val="%8."/>
      <w:lvlJc w:val="left"/>
      <w:pPr>
        <w:ind w:left="6240" w:hanging="360"/>
      </w:pPr>
    </w:lvl>
    <w:lvl w:ilvl="8" w:tentative="0">
      <w:start w:val="1"/>
      <w:numFmt w:val="lowerRoman"/>
      <w:lvlText w:val="%9."/>
      <w:lvlJc w:val="right"/>
      <w:pPr>
        <w:ind w:left="69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compressPunctuation"/>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ZiZDRhNjMwY2E0MTFhOWI4MWNhOWI0NjZjMDI0OWYifQ=="/>
  </w:docVars>
  <w:rsids>
    <w:rsidRoot w:val="00A51C0C"/>
    <w:rsid w:val="00061DD6"/>
    <w:rsid w:val="0019615B"/>
    <w:rsid w:val="00201A20"/>
    <w:rsid w:val="005E03A6"/>
    <w:rsid w:val="00751106"/>
    <w:rsid w:val="007C71DA"/>
    <w:rsid w:val="00890CBB"/>
    <w:rsid w:val="008D3EBD"/>
    <w:rsid w:val="008D6B40"/>
    <w:rsid w:val="0097762C"/>
    <w:rsid w:val="00A24E47"/>
    <w:rsid w:val="00A51C0C"/>
    <w:rsid w:val="00A85FE6"/>
    <w:rsid w:val="00AB7E1B"/>
    <w:rsid w:val="00B65C23"/>
    <w:rsid w:val="00BE5735"/>
    <w:rsid w:val="00D20C0D"/>
    <w:rsid w:val="00EB42AC"/>
    <w:rsid w:val="00F16CC8"/>
    <w:rsid w:val="00F45A35"/>
    <w:rsid w:val="376A72EF"/>
    <w:rsid w:val="39B36A66"/>
    <w:rsid w:val="3A6328BA"/>
    <w:rsid w:val="579D4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overflowPunct w:val="0"/>
      <w:snapToGrid w:val="0"/>
      <w:ind w:firstLine="420"/>
    </w:pPr>
  </w:style>
  <w:style w:type="paragraph" w:styleId="3">
    <w:name w:val="footer"/>
    <w:basedOn w:val="1"/>
    <w:link w:val="11"/>
    <w:unhideWhenUsed/>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FollowedHyperlink"/>
    <w:basedOn w:val="6"/>
    <w:qFormat/>
    <w:uiPriority w:val="0"/>
    <w:rPr>
      <w:color w:val="800080"/>
      <w:u w:val="single"/>
    </w:rPr>
  </w:style>
  <w:style w:type="character" w:styleId="8">
    <w:name w:val="Hyperlink"/>
    <w:basedOn w:val="6"/>
    <w:qFormat/>
    <w:uiPriority w:val="0"/>
    <w:rPr>
      <w:color w:val="0000FF"/>
      <w:u w:val="single"/>
    </w:rPr>
  </w:style>
  <w:style w:type="character" w:customStyle="1" w:styleId="9">
    <w:name w:val="正文文本缩进 字符"/>
    <w:basedOn w:val="6"/>
    <w:link w:val="2"/>
    <w:qFormat/>
    <w:uiPriority w:val="0"/>
    <w:rPr>
      <w:rFonts w:eastAsia="宋体"/>
      <w:sz w:val="21"/>
      <w:szCs w:val="21"/>
    </w:rPr>
  </w:style>
  <w:style w:type="character" w:customStyle="1" w:styleId="10">
    <w:name w:val="页眉 字符"/>
    <w:basedOn w:val="6"/>
    <w:link w:val="4"/>
    <w:qFormat/>
    <w:uiPriority w:val="0"/>
    <w:rPr>
      <w:rFonts w:eastAsia="宋体"/>
      <w:sz w:val="18"/>
      <w:szCs w:val="18"/>
    </w:rPr>
  </w:style>
  <w:style w:type="character" w:customStyle="1" w:styleId="11">
    <w:name w:val="页脚 字符"/>
    <w:basedOn w:val="6"/>
    <w:link w:val="3"/>
    <w:qFormat/>
    <w:uiPriority w:val="0"/>
    <w:rPr>
      <w:rFonts w:eastAsia="宋体"/>
      <w:sz w:val="18"/>
      <w:szCs w:val="18"/>
    </w:rPr>
  </w:style>
  <w:style w:type="paragraph" w:styleId="12">
    <w:name w:val="List Paragraph"/>
    <w:basedOn w:val="1"/>
    <w:qFormat/>
    <w:uiPriority w:val="34"/>
    <w:pPr>
      <w:ind w:left="720"/>
      <w:contextualSpacing/>
      <w:jc w:val="left"/>
    </w:pPr>
    <w:rPr>
      <w:rFonts w:asciiTheme="minorHAnsi" w:hAnsiTheme="minorHAnsi" w:eastAsiaTheme="minorEastAsia" w:cstheme="minorBidi"/>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988</Words>
  <Characters>993</Characters>
  <Lines>7</Lines>
  <Paragraphs>2</Paragraphs>
  <TotalTime>51</TotalTime>
  <ScaleCrop>false</ScaleCrop>
  <LinksUpToDate>false</LinksUpToDate>
  <CharactersWithSpaces>1004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2022-07-14T14:37:00Z</dcterms:created>
  <dc:creator>徐雄伟</dc:creator>
  <cp:lastModifiedBy>徐雄伟</cp:lastModifiedBy>
  <cp:lastPrinted>2020-07-03T07:57:00Z</cp:lastPrinted>
  <dcterms:modified xsi:type="dcterms:W3CDTF">2024-07-02T09:14:45Z</dcterms:modified>
  <dc:title>学科、专业名称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2F93B5C6BAB64A26BCF9B6CBC42A8309_13</vt:lpwstr>
  </property>
</Properties>
</file>