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34272">
      <w:pPr>
        <w:rPr>
          <w:rFonts w:ascii="宋体" w:hAnsi="宋体" w:cs="宋体"/>
          <w:b/>
          <w:bCs/>
          <w:kern w:val="0"/>
          <w:sz w:val="24"/>
          <w:szCs w:val="24"/>
          <w:lang w:bidi="ar"/>
        </w:rPr>
      </w:pPr>
    </w:p>
    <w:tbl>
      <w:tblPr>
        <w:tblStyle w:val="4"/>
        <w:tblW w:w="4786" w:type="pct"/>
        <w:tblCellSpacing w:w="0" w:type="dxa"/>
        <w:tblInd w:w="183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3"/>
        <w:gridCol w:w="6252"/>
      </w:tblGrid>
      <w:tr w14:paraId="34234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  <w:tblCellSpacing w:w="0" w:type="dxa"/>
        </w:trPr>
        <w:tc>
          <w:tcPr>
            <w:tcW w:w="196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B4044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252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D599B">
            <w:r>
              <w:rPr>
                <w:rFonts w:hint="eastAsia" w:ascii="宋体" w:hAnsi="宋体"/>
                <w:sz w:val="24"/>
                <w:szCs w:val="24"/>
              </w:rPr>
              <w:t>学科教学（数学）</w:t>
            </w:r>
          </w:p>
        </w:tc>
      </w:tr>
      <w:tr w14:paraId="7E9DA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21" w:hRule="atLeast"/>
          <w:tblCellSpacing w:w="0" w:type="dxa"/>
        </w:trPr>
        <w:tc>
          <w:tcPr>
            <w:tcW w:w="8215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D709">
            <w:pPr>
              <w:ind w:left="1680" w:hanging="1680"/>
              <w:jc w:val="left"/>
              <w:rPr>
                <w:b/>
              </w:rPr>
            </w:pPr>
            <w:r>
              <w:rPr>
                <w:rFonts w:hint="eastAsia" w:ascii="宋体" w:hAnsi="宋体"/>
                <w:b/>
              </w:rPr>
              <w:t>学科、专业简介（导师、研究方向及其特色、学术地位、研究成果、在研项目、课程设置、就业去向等方面）：</w:t>
            </w:r>
          </w:p>
          <w:p w14:paraId="08984113">
            <w:pPr>
              <w:spacing w:line="400" w:lineRule="atLeast"/>
              <w:ind w:firstLine="420"/>
            </w:pPr>
            <w:r>
              <w:rPr>
                <w:rFonts w:hint="eastAsia" w:ascii="宋体" w:hAnsi="宋体"/>
              </w:rPr>
              <w:t>目前，本学科主要研究方向有：数学教材开发、数学认知研究、数学课程与教材比较研究、数学课堂教学比较、数学学习评价、数学教师教育、信息技术与数学课程的整合等。研究论文主要发表在《International Journal of Science and Mathematics Education》《课程教材教法》《教师教育研究》《数学教育学报》等国内外专业学术刊物。曾参与教育部重大课题《普通高中数学课程标准》的研制，参与国家社科基金重点课题《主要国家高中数学教材比较研究》的研发，主持或参与多项教育部与上海市的教育研究及课程改革项目。曾主编、参编上海市中、小学数学教材。学院主办的《中学数学教学》杂志已创刊45年，本方向的研究生导师承担该杂志的编辑、组稿、审稿等工作。</w:t>
            </w:r>
          </w:p>
          <w:p w14:paraId="54053058">
            <w:pPr>
              <w:spacing w:line="400" w:lineRule="atLeast"/>
              <w:ind w:firstLine="420"/>
            </w:pPr>
            <w:r>
              <w:rPr>
                <w:rFonts w:hint="eastAsia" w:ascii="宋体" w:hAnsi="宋体"/>
              </w:rPr>
              <w:t>近十年来，该学科建立了一套比较完整的课程体系和严格的考核方法。开设的专业课程主要有《中学数学课程与教材研究》、《中学数学教学设计与实施》、《数学文化与数学史》、《几何学引论》、《数学方法论》、《数学教材教具开发研究》、《数学教育测量与评价》、《数学教育科研方法》、《数学教育心理学》、《现代数学与中学数学》、《初等数学研究》等。</w:t>
            </w:r>
          </w:p>
          <w:p w14:paraId="661C93E1">
            <w:pPr>
              <w:spacing w:line="400" w:lineRule="atLeast"/>
              <w:ind w:firstLine="420"/>
            </w:pPr>
            <w:r>
              <w:rPr>
                <w:rFonts w:hint="eastAsia" w:ascii="宋体" w:hAnsi="宋体"/>
              </w:rPr>
              <w:t>本学科学制为两年，第一学年的主要任务是理论学习，完成所需学分，第二学年将去中学进行半年以上的教育实习，同时完成毕业论文。学校有中学教育实习基地学校60多所，有研究生高端教育实习基地学校7所。研究生除去上述学校参加教育实习外，每年有一批学生将去海外参加教育实践活动。</w:t>
            </w:r>
          </w:p>
          <w:p w14:paraId="71621EDD">
            <w:pPr>
              <w:spacing w:line="400" w:lineRule="atLeast"/>
              <w:ind w:firstLine="420"/>
            </w:pPr>
            <w:r>
              <w:rPr>
                <w:rFonts w:hint="eastAsia" w:ascii="宋体" w:hAnsi="宋体"/>
              </w:rPr>
              <w:t>本学科为上海市重点学科，</w:t>
            </w:r>
            <w:r>
              <w:rPr>
                <w:rFonts w:hint="eastAsia"/>
              </w:rPr>
              <w:t>毕业生的90%以上在上海就业，</w:t>
            </w:r>
            <w:r>
              <w:rPr>
                <w:rFonts w:hint="eastAsia" w:ascii="宋体" w:hAnsi="宋体"/>
              </w:rPr>
              <w:t>主要在上海的基础教育学校工作，少部分毕业生在教育科研机构、教师进修机构、出版社和其他事业单位从事教育科研工作。近几年毕业生的就业率为100%，签约率保持在9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%以上。</w:t>
            </w:r>
          </w:p>
          <w:p w14:paraId="5C46F55A">
            <w:pPr>
              <w:spacing w:line="400" w:lineRule="atLeast"/>
              <w:ind w:firstLine="420"/>
            </w:pPr>
            <w:r>
              <w:rPr>
                <w:rFonts w:hint="eastAsia" w:ascii="宋体" w:hAnsi="宋体"/>
              </w:rPr>
              <w:t>本硕士点目前的负责人为王蓉华教授，主要导师有李昭祥教授、丁玮教授、焦裕建教授、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陆新生副教授，、管艳副教授、蒋政副教授、何声清</w:t>
            </w:r>
            <w:r>
              <w:rPr>
                <w:rFonts w:hint="eastAsia" w:ascii="宋体" w:hAnsi="宋体"/>
                <w:lang w:eastAsia="zh-CN"/>
              </w:rPr>
              <w:t>副教授</w:t>
            </w:r>
            <w:r>
              <w:rPr>
                <w:rFonts w:hint="eastAsia" w:ascii="宋体" w:hAnsi="宋体"/>
              </w:rPr>
              <w:t>等，同时邀请本校教育学院黄友初教授、黄兴丰教授、贺真真副教授等兼任本专业的硕士生导师。学位点依托上海师范大学数学一级学科博士点，聘请数学系内近3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位对数学教育有独到研究的数学教授兼任学位点硕士生导师。另外学院还聘请中学数学教育界黄华、王海平、王国江、王鼎、徐俭、任升录、张亚东、徐岳灿、徐颖、张海君、曹建华、穆晓炯等60多位名师担任本方向的校外硕士生导师。</w:t>
            </w:r>
          </w:p>
          <w:p w14:paraId="293F5B48">
            <w:pPr>
              <w:spacing w:line="400" w:lineRule="atLeast"/>
              <w:ind w:firstLine="420"/>
            </w:pPr>
            <w:r>
              <w:t> </w:t>
            </w:r>
          </w:p>
        </w:tc>
      </w:tr>
    </w:tbl>
    <w:p w14:paraId="579FA3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92"/>
    <w:rsid w:val="000268BB"/>
    <w:rsid w:val="00034C29"/>
    <w:rsid w:val="000F74E6"/>
    <w:rsid w:val="002A625E"/>
    <w:rsid w:val="004349B4"/>
    <w:rsid w:val="00573389"/>
    <w:rsid w:val="00764205"/>
    <w:rsid w:val="0076420E"/>
    <w:rsid w:val="0089285F"/>
    <w:rsid w:val="008C446F"/>
    <w:rsid w:val="00962A46"/>
    <w:rsid w:val="00A24A3A"/>
    <w:rsid w:val="00A33B35"/>
    <w:rsid w:val="00AA19B3"/>
    <w:rsid w:val="00B03A91"/>
    <w:rsid w:val="00BE1532"/>
    <w:rsid w:val="00BE7570"/>
    <w:rsid w:val="00C36630"/>
    <w:rsid w:val="00C46A71"/>
    <w:rsid w:val="00C66292"/>
    <w:rsid w:val="00CA030A"/>
    <w:rsid w:val="00D17E63"/>
    <w:rsid w:val="00DB205D"/>
    <w:rsid w:val="00E54FFC"/>
    <w:rsid w:val="00E64AB0"/>
    <w:rsid w:val="00EC64A6"/>
    <w:rsid w:val="09866934"/>
    <w:rsid w:val="3092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990</Words>
  <Characters>1046</Characters>
  <Lines>11</Lines>
  <Paragraphs>3</Paragraphs>
  <TotalTime>9</TotalTime>
  <ScaleCrop>false</ScaleCrop>
  <LinksUpToDate>false</LinksUpToDate>
  <CharactersWithSpaces>1053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2024-07-05T03:35:00Z</dcterms:created>
  <dc:creator>lly</dc:creator>
  <cp:lastModifiedBy>朱雷洪</cp:lastModifiedBy>
  <dcterms:modified xsi:type="dcterms:W3CDTF">2025-07-02T05:35:02Z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eyJoZGlkIjoiMGU4ZGI2NmU4OTYyYzczZjIwMjBhMDZjOGIwZjU1NjAiLCJ1c2VySWQiOiIxNjM0NjUwMjgyIn0=</vt:lpwstr>
  </property>
  <property fmtid="{D5CDD505-2E9C-101B-9397-08002B2CF9AE}" pid="3" name="KSOProductBuildVer">
    <vt:lpwstr>2052-12.1.0.20784</vt:lpwstr>
  </property>
  <property fmtid="{D5CDD505-2E9C-101B-9397-08002B2CF9AE}" pid="4" name="ICV">
    <vt:lpwstr>156AB1A200B24CF3A7198FDEA8618F93_12</vt:lpwstr>
  </property>
</Properties>
</file>