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88AD1A">
      <w:bookmarkStart w:id="0" w:name="OLE_LINK1"/>
      <w:r>
        <w:t xml:space="preserve"> </w:t>
      </w:r>
    </w:p>
    <w:tbl>
      <w:tblPr>
        <w:tblStyle w:val="12"/>
        <w:tblW w:w="0" w:type="auto"/>
        <w:tblInd w:w="0" w:type="dxa"/>
        <w:tblLayout w:type="autofit"/>
        <w:tblCellMar>
          <w:top w:w="15" w:type="dxa"/>
          <w:left w:w="15" w:type="dxa"/>
          <w:bottom w:w="15" w:type="dxa"/>
          <w:right w:w="15" w:type="dxa"/>
        </w:tblCellMar>
      </w:tblPr>
      <w:tblGrid>
        <w:gridCol w:w="2535"/>
        <w:gridCol w:w="5730"/>
      </w:tblGrid>
      <w:tr w14:paraId="026B7556">
        <w:tblPrEx>
          <w:tblCellMar>
            <w:top w:w="15" w:type="dxa"/>
            <w:left w:w="15" w:type="dxa"/>
            <w:bottom w:w="15" w:type="dxa"/>
            <w:right w:w="15" w:type="dxa"/>
          </w:tblCellMar>
        </w:tblPrEx>
        <w:trPr>
          <w:trHeight w:val="405" w:hRule="atLeast"/>
        </w:trPr>
        <w:tc>
          <w:tcPr>
            <w:tcW w:w="253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14:paraId="586578AA">
            <w:pPr>
              <w:rPr>
                <w:rFonts w:hint="default" w:ascii="Times New Roman" w:hAnsi="Times New Roman" w:eastAsia="等线" w:cs="Times New Roman"/>
                <w:sz w:val="24"/>
                <w:szCs w:val="24"/>
              </w:rPr>
            </w:pPr>
            <w:r>
              <w:rPr>
                <w:rFonts w:hint="default" w:ascii="Times New Roman" w:hAnsi="Times New Roman" w:cs="Times New Roman"/>
                <w:b/>
                <w:bCs/>
                <w:color w:val="000000"/>
                <w:sz w:val="28"/>
                <w:szCs w:val="28"/>
              </w:rPr>
              <w:t>学科、专业名称</w:t>
            </w:r>
          </w:p>
        </w:tc>
        <w:tc>
          <w:tcPr>
            <w:tcW w:w="573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14:paraId="47D2F0C4">
            <w:pPr>
              <w:rPr>
                <w:rFonts w:hint="default" w:ascii="Times New Roman" w:hAnsi="Times New Roman" w:eastAsia="等线" w:cs="Times New Roman"/>
                <w:sz w:val="24"/>
                <w:szCs w:val="24"/>
              </w:rPr>
            </w:pPr>
            <w:r>
              <w:rPr>
                <w:rFonts w:hint="default" w:ascii="Times New Roman" w:hAnsi="Times New Roman" w:eastAsia="华文中宋" w:cs="Times New Roman"/>
                <w:color w:val="000000"/>
                <w:sz w:val="28"/>
                <w:szCs w:val="28"/>
              </w:rPr>
              <w:t>应用经济学</w:t>
            </w:r>
          </w:p>
        </w:tc>
      </w:tr>
      <w:tr w14:paraId="5E528F4F">
        <w:tblPrEx>
          <w:tblCellMar>
            <w:top w:w="15" w:type="dxa"/>
            <w:left w:w="15" w:type="dxa"/>
            <w:bottom w:w="15" w:type="dxa"/>
            <w:right w:w="15" w:type="dxa"/>
          </w:tblCellMar>
        </w:tblPrEx>
        <w:trPr>
          <w:trHeight w:val="405" w:hRule="atLeast"/>
        </w:trPr>
        <w:tc>
          <w:tcPr>
            <w:tcW w:w="8265" w:type="dxa"/>
            <w:gridSpan w:val="2"/>
            <w:tcBorders>
              <w:top w:val="single" w:color="CBCDD1" w:sz="6" w:space="0"/>
              <w:left w:val="single" w:color="000000" w:sz="6" w:space="0"/>
              <w:bottom w:val="single" w:color="000000" w:sz="6" w:space="0"/>
              <w:right w:val="single" w:color="000000" w:sz="6" w:space="0"/>
            </w:tcBorders>
            <w:tcMar>
              <w:top w:w="0" w:type="dxa"/>
              <w:left w:w="108" w:type="dxa"/>
              <w:bottom w:w="0" w:type="dxa"/>
              <w:right w:w="108" w:type="dxa"/>
            </w:tcMar>
          </w:tcPr>
          <w:p w14:paraId="6F810775">
            <w:pPr>
              <w:ind w:left="1680" w:hanging="1680"/>
              <w:rPr>
                <w:rFonts w:hint="default" w:ascii="Times New Roman" w:hAnsi="Times New Roman" w:eastAsia="等线" w:cs="Times New Roman"/>
                <w:sz w:val="24"/>
                <w:szCs w:val="24"/>
              </w:rPr>
            </w:pPr>
            <w:r>
              <w:rPr>
                <w:rFonts w:hint="default" w:ascii="Times New Roman" w:hAnsi="Times New Roman" w:cs="Times New Roman"/>
                <w:color w:val="000000"/>
                <w:sz w:val="22"/>
                <w:szCs w:val="22"/>
              </w:rPr>
              <w:t>学科、专业简介（导师、研究方向及其特色、学术地位、研究成果、在研项目、课程</w:t>
            </w:r>
          </w:p>
          <w:p w14:paraId="4407FB95">
            <w:pPr>
              <w:ind w:left="1680" w:hanging="1680"/>
              <w:rPr>
                <w:rFonts w:hint="default" w:ascii="Times New Roman" w:hAnsi="Times New Roman" w:eastAsia="等线" w:cs="Times New Roman"/>
                <w:sz w:val="24"/>
                <w:szCs w:val="24"/>
              </w:rPr>
            </w:pPr>
            <w:r>
              <w:rPr>
                <w:rFonts w:hint="default" w:ascii="Times New Roman" w:hAnsi="Times New Roman" w:cs="Times New Roman"/>
                <w:color w:val="000000"/>
                <w:sz w:val="22"/>
                <w:szCs w:val="22"/>
              </w:rPr>
              <w:t>设置、就业去向等方面）：</w:t>
            </w:r>
          </w:p>
          <w:p w14:paraId="014B5913">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应用经济学学科下设</w:t>
            </w:r>
            <w:r>
              <w:rPr>
                <w:rFonts w:hint="default" w:ascii="Times New Roman" w:hAnsi="Times New Roman" w:cs="Times New Roman" w:eastAsiaTheme="majorEastAsia"/>
                <w:color w:val="000000"/>
                <w:sz w:val="22"/>
                <w:szCs w:val="22"/>
                <w:lang w:val="en-US" w:eastAsia="zh-CN"/>
              </w:rPr>
              <w:t>七</w:t>
            </w:r>
            <w:r>
              <w:rPr>
                <w:rFonts w:hint="default" w:ascii="Times New Roman" w:hAnsi="Times New Roman" w:cs="Times New Roman" w:eastAsiaTheme="majorEastAsia"/>
                <w:color w:val="000000"/>
                <w:sz w:val="22"/>
                <w:szCs w:val="22"/>
              </w:rPr>
              <w:t>个专业方向，分别为：</w:t>
            </w:r>
          </w:p>
          <w:p w14:paraId="308772C1">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b/>
                <w:bCs/>
                <w:color w:val="000000"/>
                <w:sz w:val="22"/>
                <w:szCs w:val="22"/>
              </w:rPr>
              <w:t>一、区域经济学</w:t>
            </w:r>
          </w:p>
          <w:p w14:paraId="3132F2EF">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本学科方向旨在培养研究生掌握宽厚扎实的现代经济学理论体系与系统的区域、城市、空间经济学专业知识，具有多学科交叉创新思维，能够理论联系实际，运用区域、城市、空间经济的理论与方法，调研分析中外区域经济发展与管理领域中的理论与实践问题，能够创造性制订和实施区域与城市经济发展战略、规划与政策的中高层次经济管理人才。</w:t>
            </w:r>
          </w:p>
          <w:p w14:paraId="1C7C0A1F">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本专业方向现有教授4名，副教授8名，均具有相关专业名校博士学位，具有多年从事相关专业研究生培养和科研工作的经验。</w:t>
            </w:r>
          </w:p>
          <w:p w14:paraId="08E0EE3A">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（一）培养目标和要求</w:t>
            </w:r>
          </w:p>
          <w:p w14:paraId="323EECE3">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1. 努力学习马列主义、毛泽东思想、邓小平理论与习近平中国特色社会主义思想，坚持党的基本路线，热爱祖国，遵纪守法，品德良好，学风严谨，具有较强的事业心和献身精神，积极为社会主义现代化建设服务。</w:t>
            </w:r>
          </w:p>
          <w:p w14:paraId="3B66BC09">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2. 着力培养系统掌握区域、城市经济与管理及区域科学领域的理论知识与研究方法，重点熟悉不同层次的区域经济与管理领域的调研、分析、决策咨询与战略规划技术，强化利用运筹规划、空间统计与高级计量经济等科学方法，独立主持研究区域城市经济理论与分析解决实践问题的技能。本学科将为政府部门、科研机构、大型企事业规划部门、咨询机构、金融机构、公共机构等部门培养输送从事区域与城市经济规划与管理、长三角一体化规划和咨询服务、城市管理等方面的中高层次经济决策、管理及教学科研人才。</w:t>
            </w:r>
          </w:p>
          <w:p w14:paraId="2EB5C7ED">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3. 积极参加体育锻炼，身体健康。</w:t>
            </w:r>
          </w:p>
          <w:p w14:paraId="7686358B">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4. 掌握一门外国语，具备较强的听、说、读、写能力；能够比较熟练地阅读数量经济专业外文资料并用外文撰写专业资料，具有一定的跨文化专业交流能力。</w:t>
            </w:r>
          </w:p>
          <w:p w14:paraId="222B4734">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（二）研究领域</w:t>
            </w:r>
          </w:p>
          <w:p w14:paraId="0E9BD7C2">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1.“一带一路”区域发展与跨国合作</w:t>
            </w:r>
          </w:p>
          <w:p w14:paraId="068B2A78">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2.特大城市与长三角区域高质量一体化</w:t>
            </w:r>
          </w:p>
          <w:p w14:paraId="4D18FBE3">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3.儒家文化、制度设计与区域创新发展</w:t>
            </w:r>
          </w:p>
          <w:p w14:paraId="3A079127">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（三）学术地位与研究成果</w:t>
            </w:r>
          </w:p>
          <w:p w14:paraId="184A324F">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本专业为校第十期重点学科，目前承担国家自然科学基金项目3项、国家社会科学基金重点项目3项、国家社科基金一般项目4项，省部级研究项目5项，并与国土资源部、住建部、上海市规划与土地管理局及各区局、上海市农委、大型国有企业等政府机关及企业单位有广泛的横向科研项目合作。团队教师近年来在Regional Science and Urban Economics, Review of Development Economics，Spatial Economic Analysis，Journal of Asian economics, Cities,《中国软科学》《经济学（季刊）》《经济学动态》《财经研究》等国内外著名期刊上发表文章。</w:t>
            </w:r>
          </w:p>
          <w:p w14:paraId="5F85AA78">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（四） 课程设置与学分要求</w:t>
            </w:r>
          </w:p>
          <w:p w14:paraId="220D8214">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1. 本专业方向实行学分制，本专业方向硕士研究生至少应取得</w:t>
            </w:r>
            <w:r>
              <w:rPr>
                <w:rFonts w:hint="eastAsia" w:cs="Times New Roman" w:eastAsiaTheme="majorEastAsia"/>
                <w:color w:val="000000"/>
                <w:sz w:val="22"/>
                <w:szCs w:val="22"/>
                <w:lang w:val="en-US" w:eastAsia="zh-CN"/>
              </w:rPr>
              <w:t>41</w:t>
            </w:r>
            <w:r>
              <w:rPr>
                <w:rFonts w:hint="default" w:ascii="Times New Roman" w:hAnsi="Times New Roman" w:cs="Times New Roman" w:eastAsiaTheme="majorEastAsia"/>
                <w:color w:val="000000"/>
                <w:sz w:val="22"/>
                <w:szCs w:val="22"/>
              </w:rPr>
              <w:t>学分，方可申请硕士学位。</w:t>
            </w:r>
          </w:p>
          <w:p w14:paraId="6F672A06">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2. 课程设置分为学位课（包括公共课和学科基础课）、专业核心课和专业选修课。其中公共课5学分，学位基础课11学分，学位专业课12学分，选修课大于或等于</w:t>
            </w:r>
            <w:r>
              <w:rPr>
                <w:rFonts w:hint="eastAsia" w:cs="Times New Roman" w:eastAsiaTheme="majorEastAsia"/>
                <w:color w:val="000000"/>
                <w:sz w:val="22"/>
                <w:szCs w:val="22"/>
                <w:lang w:val="en-US" w:eastAsia="zh-CN"/>
              </w:rPr>
              <w:t>10</w:t>
            </w:r>
            <w:r>
              <w:rPr>
                <w:rFonts w:hint="default" w:ascii="Times New Roman" w:hAnsi="Times New Roman" w:cs="Times New Roman" w:eastAsiaTheme="majorEastAsia"/>
                <w:color w:val="000000"/>
                <w:sz w:val="22"/>
                <w:szCs w:val="22"/>
              </w:rPr>
              <w:t>学分。</w:t>
            </w:r>
          </w:p>
          <w:p w14:paraId="78A3BADC">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3. 以同等学力或跨学科考入学的研究生，入学后要补修相关学科的本科基础课程，均不计学分。</w:t>
            </w:r>
          </w:p>
          <w:p w14:paraId="42712F73">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（五） 教学和培养方式</w:t>
            </w:r>
          </w:p>
          <w:p w14:paraId="6C04DB66">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在研究生入学后第一学期内，通过师生互选，为每位研究生配备一位或多位导师。一般采取以导师指导为主，导师与学科指导小组集体培养相结合的方式。</w:t>
            </w:r>
          </w:p>
          <w:p w14:paraId="6BFDD529">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b/>
                <w:bCs/>
                <w:color w:val="000000"/>
                <w:sz w:val="22"/>
                <w:szCs w:val="22"/>
                <w:lang w:val="en-US" w:eastAsia="zh-CN"/>
              </w:rPr>
              <w:t>二</w:t>
            </w:r>
            <w:r>
              <w:rPr>
                <w:rFonts w:hint="default" w:ascii="Times New Roman" w:hAnsi="Times New Roman" w:cs="Times New Roman" w:eastAsiaTheme="majorEastAsia"/>
                <w:b/>
                <w:bCs/>
                <w:color w:val="000000"/>
                <w:sz w:val="22"/>
                <w:szCs w:val="22"/>
              </w:rPr>
              <w:t>、金融学</w:t>
            </w:r>
          </w:p>
          <w:p w14:paraId="03E76BE0">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（一）培养目标和要求</w:t>
            </w:r>
          </w:p>
          <w:p w14:paraId="60222C17">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本专业方向致力于培养具备良好的职业素养，专业知识系统，全面掌握金融管理知识，能够熟练应用量化金融管理技术与方法，擅长空间金融统计与计量分析的创新研究型高级应用人才，为国家经济发展尤其是上海国际金融中心建设提供人才支持和智力支持。</w:t>
            </w:r>
          </w:p>
          <w:p w14:paraId="1A0265A5">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本专业方向的硕士生应具备以下能力：</w:t>
            </w:r>
          </w:p>
          <w:p w14:paraId="69022502">
            <w:pPr>
              <w:keepNext w:val="0"/>
              <w:keepLines w:val="0"/>
              <w:pageBreakBefore w:val="0"/>
              <w:widowControl/>
              <w:kinsoku/>
              <w:wordWrap/>
              <w:overflowPunct/>
              <w:topLinePunct w:val="0"/>
              <w:autoSpaceDE/>
              <w:autoSpaceDN/>
              <w:bidi w:val="0"/>
              <w:adjustRightInd/>
              <w:snapToGrid/>
              <w:spacing w:line="360" w:lineRule="auto"/>
              <w:ind w:firstLine="440" w:firstLineChars="20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1. 在金融基本理论方面，深刻掌握现代金融的前沿理论，并能熟练运用这些理论知识来认识、分析和解决金融实践中所遇到的问题；</w:t>
            </w:r>
          </w:p>
          <w:p w14:paraId="1252B52A">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2. 在金融风险管理方面，充分掌握足够的基本理论与分析计算实现技术，特别是与空间金融统计与计量分析相关的技术；</w:t>
            </w:r>
          </w:p>
          <w:p w14:paraId="09FCD444">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3.在金融数据分析方面，系统掌握数据挖掘、空间分析与建模、综合评价等相关领域的知识和技能；</w:t>
            </w:r>
          </w:p>
          <w:p w14:paraId="4367FD89">
            <w:pPr>
              <w:keepNext w:val="0"/>
              <w:keepLines w:val="0"/>
              <w:pageBreakBefore w:val="0"/>
              <w:widowControl/>
              <w:kinsoku/>
              <w:wordWrap/>
              <w:overflowPunct/>
              <w:topLinePunct w:val="0"/>
              <w:autoSpaceDE/>
              <w:autoSpaceDN/>
              <w:bidi w:val="0"/>
              <w:adjustRightInd/>
              <w:snapToGrid/>
              <w:spacing w:line="360" w:lineRule="auto"/>
              <w:ind w:firstLine="440" w:firstLineChars="20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4. 在空间金融、金融机构管理、公司金融及科技与金融领域，具有较强的学习与科研能力；具有独立主持本学科领域研究工作的宏微观管理能力；</w:t>
            </w:r>
          </w:p>
          <w:p w14:paraId="07763987">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5.掌握一门外国语，具备较强的听、说、读、写能力；能够比较熟练地阅读金融学专业外文资料并用外文撰写专业资料，具有一定的跨文化专业交流能力。</w:t>
            </w:r>
          </w:p>
          <w:p w14:paraId="5D89B1D4">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（二）研究领域</w:t>
            </w:r>
          </w:p>
          <w:p w14:paraId="0677FE4A">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本专业方向设置研究领域有：</w:t>
            </w:r>
          </w:p>
          <w:p w14:paraId="4463226B">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1．公司金融</w:t>
            </w:r>
          </w:p>
          <w:p w14:paraId="6500E844">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2．数智金融</w:t>
            </w:r>
          </w:p>
          <w:p w14:paraId="7B9E00C1">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3．行为金融</w:t>
            </w:r>
          </w:p>
          <w:p w14:paraId="778FEE43">
            <w:pPr>
              <w:keepNext w:val="0"/>
              <w:keepLines w:val="0"/>
              <w:pageBreakBefore w:val="0"/>
              <w:widowControl/>
              <w:kinsoku/>
              <w:wordWrap/>
              <w:overflowPunct/>
              <w:topLinePunct w:val="0"/>
              <w:autoSpaceDE/>
              <w:autoSpaceDN/>
              <w:bidi w:val="0"/>
              <w:adjustRightInd/>
              <w:snapToGrid/>
              <w:spacing w:line="360" w:lineRule="auto"/>
              <w:ind w:firstLine="440" w:firstLineChars="20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4．科技金融</w:t>
            </w:r>
          </w:p>
          <w:p w14:paraId="67B46DCF">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（三）学术地位与研究成果</w:t>
            </w:r>
          </w:p>
          <w:p w14:paraId="0FE58694">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本专业方向为学校重点学科，现有教授</w:t>
            </w:r>
            <w:r>
              <w:rPr>
                <w:rFonts w:hint="default" w:ascii="Times New Roman" w:hAnsi="Times New Roman" w:cs="Times New Roman" w:eastAsiaTheme="majorEastAsia"/>
                <w:color w:val="000000"/>
                <w:sz w:val="22"/>
                <w:szCs w:val="22"/>
                <w:lang w:val="en-US" w:eastAsia="zh-CN"/>
              </w:rPr>
              <w:t>5</w:t>
            </w:r>
            <w:r>
              <w:rPr>
                <w:rFonts w:hint="default" w:ascii="Times New Roman" w:hAnsi="Times New Roman" w:cs="Times New Roman" w:eastAsiaTheme="majorEastAsia"/>
                <w:color w:val="000000"/>
                <w:sz w:val="22"/>
                <w:szCs w:val="22"/>
              </w:rPr>
              <w:t>位，副教授8位，均具有国内外名牌高校的相关专业博士学位，具有多年从事相关专业研究生培养和科研工作的经验。近五年来，本方向导师承担</w:t>
            </w:r>
            <w:r>
              <w:rPr>
                <w:rFonts w:hint="default" w:ascii="Times New Roman" w:hAnsi="Times New Roman" w:cs="Times New Roman" w:eastAsiaTheme="majorEastAsia"/>
                <w:color w:val="000000"/>
                <w:sz w:val="22"/>
                <w:szCs w:val="22"/>
                <w:lang w:val="en-US" w:eastAsia="zh-CN"/>
              </w:rPr>
              <w:t>国家社科基金、国家自科基金等</w:t>
            </w:r>
            <w:r>
              <w:rPr>
                <w:rFonts w:hint="default" w:ascii="Times New Roman" w:hAnsi="Times New Roman" w:cs="Times New Roman" w:eastAsiaTheme="majorEastAsia"/>
                <w:color w:val="000000"/>
                <w:sz w:val="22"/>
                <w:szCs w:val="22"/>
              </w:rPr>
              <w:t>省部级及以上研究项目</w:t>
            </w:r>
            <w:r>
              <w:rPr>
                <w:rFonts w:hint="default" w:ascii="Times New Roman" w:hAnsi="Times New Roman" w:cs="Times New Roman" w:eastAsiaTheme="majorEastAsia"/>
                <w:color w:val="000000"/>
                <w:sz w:val="22"/>
                <w:szCs w:val="22"/>
                <w:lang w:val="en-US" w:eastAsia="zh-CN"/>
              </w:rPr>
              <w:t>2</w:t>
            </w:r>
            <w:r>
              <w:rPr>
                <w:rFonts w:hint="default" w:ascii="Times New Roman" w:hAnsi="Times New Roman" w:cs="Times New Roman" w:eastAsiaTheme="majorEastAsia"/>
                <w:color w:val="000000"/>
                <w:sz w:val="22"/>
                <w:szCs w:val="22"/>
              </w:rPr>
              <w:t>0余项，在</w:t>
            </w:r>
            <w:r>
              <w:rPr>
                <w:rFonts w:hint="default" w:ascii="Times New Roman" w:hAnsi="Times New Roman" w:cs="Times New Roman" w:eastAsiaTheme="majorEastAsia"/>
                <w:color w:val="000000"/>
                <w:sz w:val="22"/>
                <w:szCs w:val="22"/>
                <w:lang w:eastAsia="zh-CN"/>
              </w:rPr>
              <w:t>《</w:t>
            </w:r>
            <w:r>
              <w:rPr>
                <w:rFonts w:hint="default" w:ascii="Times New Roman" w:hAnsi="Times New Roman" w:cs="Times New Roman" w:eastAsiaTheme="majorEastAsia"/>
                <w:color w:val="000000"/>
                <w:sz w:val="22"/>
                <w:szCs w:val="22"/>
                <w:lang w:val="en-US" w:eastAsia="zh-CN"/>
              </w:rPr>
              <w:t>金融研究</w:t>
            </w:r>
            <w:r>
              <w:rPr>
                <w:rFonts w:hint="default" w:ascii="Times New Roman" w:hAnsi="Times New Roman" w:cs="Times New Roman" w:eastAsiaTheme="majorEastAsia"/>
                <w:color w:val="000000"/>
                <w:sz w:val="22"/>
                <w:szCs w:val="22"/>
                <w:lang w:eastAsia="zh-CN"/>
              </w:rPr>
              <w:t>》、《</w:t>
            </w:r>
            <w:r>
              <w:rPr>
                <w:rFonts w:hint="default" w:ascii="Times New Roman" w:hAnsi="Times New Roman" w:cs="Times New Roman" w:eastAsiaTheme="majorEastAsia"/>
                <w:color w:val="000000"/>
                <w:sz w:val="22"/>
                <w:szCs w:val="22"/>
                <w:lang w:val="en-US" w:eastAsia="zh-CN"/>
              </w:rPr>
              <w:t>国际金融研究</w:t>
            </w:r>
            <w:r>
              <w:rPr>
                <w:rFonts w:hint="default" w:ascii="Times New Roman" w:hAnsi="Times New Roman" w:cs="Times New Roman" w:eastAsiaTheme="majorEastAsia"/>
                <w:color w:val="000000"/>
                <w:sz w:val="22"/>
                <w:szCs w:val="22"/>
                <w:lang w:eastAsia="zh-CN"/>
              </w:rPr>
              <w:t>》、</w:t>
            </w:r>
            <w:r>
              <w:rPr>
                <w:rFonts w:hint="default" w:ascii="Times New Roman" w:hAnsi="Times New Roman" w:cs="Times New Roman" w:eastAsiaTheme="majorEastAsia"/>
                <w:color w:val="000000"/>
                <w:sz w:val="22"/>
                <w:szCs w:val="22"/>
              </w:rPr>
              <w:t>《管理科学学报》、《系统工程理论与实践》、《管理评论》</w:t>
            </w:r>
            <w:r>
              <w:rPr>
                <w:rFonts w:hint="default" w:ascii="Times New Roman" w:hAnsi="Times New Roman" w:cs="Times New Roman" w:eastAsiaTheme="majorEastAsia"/>
                <w:color w:val="000000"/>
                <w:sz w:val="22"/>
                <w:szCs w:val="22"/>
                <w:lang w:eastAsia="zh-CN"/>
              </w:rPr>
              <w:t>、</w:t>
            </w:r>
            <w:r>
              <w:rPr>
                <w:rFonts w:hint="default" w:ascii="Times New Roman" w:hAnsi="Times New Roman" w:cs="Times New Roman" w:eastAsiaTheme="majorEastAsia"/>
                <w:color w:val="000000"/>
                <w:sz w:val="22"/>
                <w:szCs w:val="22"/>
              </w:rPr>
              <w:t>Pacific-Basin Finance Journal</w:t>
            </w:r>
            <w:r>
              <w:rPr>
                <w:rFonts w:hint="default" w:ascii="Times New Roman" w:hAnsi="Times New Roman" w:cs="Times New Roman" w:eastAsiaTheme="majorEastAsia"/>
                <w:color w:val="000000"/>
                <w:sz w:val="22"/>
                <w:szCs w:val="22"/>
                <w:lang w:eastAsia="zh-CN"/>
              </w:rPr>
              <w:t>、</w:t>
            </w:r>
            <w:r>
              <w:rPr>
                <w:rFonts w:hint="default" w:ascii="Times New Roman" w:hAnsi="Times New Roman" w:cs="Times New Roman" w:eastAsiaTheme="majorEastAsia"/>
                <w:color w:val="000000"/>
                <w:sz w:val="22"/>
                <w:szCs w:val="22"/>
              </w:rPr>
              <w:t>Journal of Management Analy</w:t>
            </w:r>
            <w:r>
              <w:rPr>
                <w:rFonts w:hint="eastAsia" w:cs="Times New Roman" w:eastAsiaTheme="majorEastAsia"/>
                <w:color w:val="000000"/>
                <w:sz w:val="22"/>
                <w:szCs w:val="22"/>
                <w:lang w:val="en-US" w:eastAsia="zh-CN"/>
              </w:rPr>
              <w:t>si</w:t>
            </w:r>
            <w:r>
              <w:rPr>
                <w:rFonts w:hint="default" w:ascii="Times New Roman" w:hAnsi="Times New Roman" w:cs="Times New Roman" w:eastAsiaTheme="majorEastAsia"/>
                <w:color w:val="000000"/>
                <w:sz w:val="22"/>
                <w:szCs w:val="22"/>
              </w:rPr>
              <w:t>s</w:t>
            </w:r>
            <w:r>
              <w:rPr>
                <w:rFonts w:hint="default" w:ascii="Times New Roman" w:hAnsi="Times New Roman" w:cs="Times New Roman" w:eastAsiaTheme="majorEastAsia"/>
                <w:color w:val="000000"/>
                <w:sz w:val="22"/>
                <w:szCs w:val="22"/>
                <w:lang w:eastAsia="zh-CN"/>
              </w:rPr>
              <w:t>、</w:t>
            </w:r>
            <w:r>
              <w:rPr>
                <w:rFonts w:hint="default" w:ascii="Times New Roman" w:hAnsi="Times New Roman" w:cs="Times New Roman" w:eastAsiaTheme="majorEastAsia"/>
                <w:color w:val="000000"/>
                <w:sz w:val="22"/>
                <w:szCs w:val="22"/>
              </w:rPr>
              <w:t>Emerging Markets Finance and Trade等国内外一流中英文期刊上发表专业研究成果。同时，本方向导师积极关注国家和上海经济社会重大发展问题，就相关问题提交决策咨询报告，多份决策咨询报告获得国家和省市领导批示。</w:t>
            </w:r>
          </w:p>
          <w:p w14:paraId="73689036">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（四）课程设置和学分</w:t>
            </w:r>
          </w:p>
          <w:p w14:paraId="0D716D84">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1. 本专业方向实行学分制，本专业方向硕士研究生至少应取得</w:t>
            </w:r>
            <w:r>
              <w:rPr>
                <w:rFonts w:hint="eastAsia" w:cs="Times New Roman" w:eastAsiaTheme="majorEastAsia"/>
                <w:color w:val="000000"/>
                <w:sz w:val="22"/>
                <w:szCs w:val="22"/>
                <w:lang w:val="en-US" w:eastAsia="zh-CN"/>
              </w:rPr>
              <w:t>41</w:t>
            </w:r>
            <w:r>
              <w:rPr>
                <w:rFonts w:hint="default" w:ascii="Times New Roman" w:hAnsi="Times New Roman" w:cs="Times New Roman" w:eastAsiaTheme="majorEastAsia"/>
                <w:color w:val="000000"/>
                <w:sz w:val="22"/>
                <w:szCs w:val="22"/>
              </w:rPr>
              <w:t>学分，方可申请硕士学位。</w:t>
            </w:r>
          </w:p>
          <w:p w14:paraId="53832B35">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2. 课程设置分为必修课和选修课。其中公共课5学分，学位基础课11学分，学位专业课12学分，选修课大于或等于</w:t>
            </w:r>
            <w:r>
              <w:rPr>
                <w:rFonts w:hint="eastAsia" w:cs="Times New Roman" w:eastAsiaTheme="majorEastAsia"/>
                <w:color w:val="000000"/>
                <w:sz w:val="22"/>
                <w:szCs w:val="22"/>
                <w:lang w:val="en-US" w:eastAsia="zh-CN"/>
              </w:rPr>
              <w:t>10</w:t>
            </w:r>
            <w:r>
              <w:rPr>
                <w:rFonts w:hint="default" w:ascii="Times New Roman" w:hAnsi="Times New Roman" w:cs="Times New Roman" w:eastAsiaTheme="majorEastAsia"/>
                <w:color w:val="000000"/>
                <w:sz w:val="22"/>
                <w:szCs w:val="22"/>
              </w:rPr>
              <w:t>学分。</w:t>
            </w:r>
          </w:p>
          <w:p w14:paraId="6A1D6A51">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3. 以同等学力考入的研究生，要补修有关的大学本科金融学专业基础课程三门；跨学科或基础理论或专业知识无法满足金融学硕士学习需要的研究生，入学后要补修相关学科的本科课程，不计学分。</w:t>
            </w:r>
          </w:p>
          <w:p w14:paraId="05848C02">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（五）教学和培养方式</w:t>
            </w:r>
          </w:p>
          <w:p w14:paraId="48FBCF64">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在研究生入学后第一学期内，通过师生互选，为每位研究生配备一位或多位导师。一般采取以导师指导为主，导师与学科指导小组集体培养相结合的方式。</w:t>
            </w:r>
          </w:p>
          <w:p w14:paraId="7F4FFEAC">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在培养过程中，坚持“厚基础，重创新，理论联系实际”的理念，采取“问题导向”的系统的理论学习与科学研究相结合的方法，组织培养知识宽厚精深、技能娴熟的高级金融专业人才；注意因材施教，充分发挥研究生个人的特长和才能；结合专业需要，有计划地邀请校内外专家来校讲学，不断拓展与丰富国内外联合培养模式。</w:t>
            </w:r>
          </w:p>
          <w:p w14:paraId="42039618">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 </w:t>
            </w:r>
            <w:r>
              <w:rPr>
                <w:rFonts w:hint="default" w:ascii="Times New Roman" w:hAnsi="Times New Roman" w:cs="Times New Roman" w:eastAsiaTheme="majorEastAsia"/>
                <w:b/>
                <w:bCs/>
                <w:color w:val="000000"/>
                <w:sz w:val="22"/>
                <w:szCs w:val="22"/>
              </w:rPr>
              <w:t>三、产业经济学</w:t>
            </w:r>
          </w:p>
          <w:p w14:paraId="5D9F979E">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（一）培养目标和要求</w:t>
            </w:r>
          </w:p>
          <w:p w14:paraId="25216092">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本专业方向培养具有良好政治思想和道德素质，掌握坚实宽广的产业经济学理论基础和系统深入的专门知识，具有独立从事科学研究和经济管理方面的能力，能够运用现代产业经济学理论和方法在理论研究和管理实践上做出创造性的成果，适应政府综合经济管理部门、内外资企业、金融机构、高校和科研机构所需要的高层次实用型和创新型人才。</w:t>
            </w:r>
          </w:p>
          <w:p w14:paraId="4E282B44">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本专业方向硕士应具备以下能力：</w:t>
            </w:r>
          </w:p>
          <w:p w14:paraId="2F5CAB0C">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（1）系统掌握现代产业经济学的基础理论和思维方法，掌握产业经济学定性和定量分析技术，能够跟踪本专业方向领域的学术进展和前沿动态，具备扎实的产业经济学理论功底；</w:t>
            </w:r>
          </w:p>
          <w:p w14:paraId="7FACBA35">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2）能够运用产业经济学的基本理论、模型和计量方法研究产业经济学领域包括产业安全与产业链供应链韧性、产业价值链分工与产业空间布局、产业组织与公司行为、产业结构与产业演进产业竞争与产业规制等在内各种专业问题。具备非常强的解决专业问题的专业智慧、专业表达和专业执行能力；</w:t>
            </w:r>
          </w:p>
          <w:p w14:paraId="55C67F0D">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（3）熟悉国家产业政策和相关的制度法规，具备一定产业政策设计与绩效分析的政策研究与政策设计能力；</w:t>
            </w:r>
          </w:p>
          <w:p w14:paraId="7D091D80">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（4）掌握一门外国语，具备较强的听、说、读、写能力；能够比较熟练地阅读数量经济专业外文资料并用外文撰写专业资料，具有一定的跨文化专业交流能力。</w:t>
            </w:r>
          </w:p>
          <w:p w14:paraId="64141D6C">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（二）研究领域</w:t>
            </w:r>
          </w:p>
          <w:p w14:paraId="0CA9974F">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产业经济学”是经济学门类中“应用经济学”一级学科下设的二级学科。主要学习产业安全与产业链供应链、产业组织与公司行为、产业竞争与政府规制、产业发展与产业政策、产业分工与产业链金融等方面的相关理论和知识；掌握产业（行业）经济研究的量化分析方法与软件实现技术；熟悉国家产业政策及相关制度法规，并掌握产业规划方法和政策绩效分析技术。本专业方向设置研究领域有：</w:t>
            </w:r>
          </w:p>
          <w:p w14:paraId="77FF4158">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1.产业安全与产业链韧性</w:t>
            </w:r>
          </w:p>
          <w:p w14:paraId="67264772">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2.产业组织与公司理论</w:t>
            </w:r>
          </w:p>
          <w:p w14:paraId="5D539D4C">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3.产业发展与产业政策</w:t>
            </w:r>
          </w:p>
          <w:p w14:paraId="6A503A78">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4.房地产经济与政策</w:t>
            </w:r>
          </w:p>
          <w:p w14:paraId="2C7868FB">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（三）学术地位与研究成果</w:t>
            </w:r>
          </w:p>
          <w:p w14:paraId="2FA09716">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本专业方向为校第九期重点学科，本专业方向现有教授5名，副教授7名，都具有相关专业博士学位，具有多年从事相关专业研究生培养和科研工作的经验。近5年来，本方向导师承担国家社科基金、国家自然科学基金项目课题6项，省部级研究项目30余项。方向导师研究成果发表在《经济研究》、《数量经济技术经济研究》、《中国软科学》、《学术月刊》、China Economic Review、Journal of Finance and Economics、Land Use Policy、Economic Modelling、Sustainability、Journal of Mathematical Analysis and Applications等国内外重要学术刊物。同时，本方向导师积极关注国家和上海经济社会重大发展问题，就相关问题提交决策咨询报告，多份决策咨询报告获得国家和省市领导批示。</w:t>
            </w:r>
          </w:p>
          <w:p w14:paraId="4431F71D">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（四）课程设置和学分</w:t>
            </w:r>
          </w:p>
          <w:p w14:paraId="7AD313EA">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1. 本专业方向实行学分制，本专业方向硕士研究生至少应取得</w:t>
            </w:r>
            <w:r>
              <w:rPr>
                <w:rFonts w:hint="eastAsia" w:cs="Times New Roman" w:eastAsiaTheme="majorEastAsia"/>
                <w:color w:val="000000"/>
                <w:sz w:val="22"/>
                <w:szCs w:val="22"/>
                <w:lang w:val="en-US" w:eastAsia="zh-CN"/>
              </w:rPr>
              <w:t>41</w:t>
            </w:r>
            <w:r>
              <w:rPr>
                <w:rFonts w:hint="default" w:ascii="Times New Roman" w:hAnsi="Times New Roman" w:cs="Times New Roman" w:eastAsiaTheme="majorEastAsia"/>
                <w:color w:val="000000"/>
                <w:sz w:val="22"/>
                <w:szCs w:val="22"/>
              </w:rPr>
              <w:t>学分，方可申请硕士学位。</w:t>
            </w:r>
          </w:p>
          <w:p w14:paraId="2DEDB092">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2. 课程设置分为学位公共课，学位基础课，学位专业课，基础选修课，专业选修课。其中公共课5学分，学位基础课11学分，这两类课程由一级学科统一设置，为一级学科硕士研究生必修课；学位专业课12学分，为本专业方向必修课。选修课大于或等于</w:t>
            </w:r>
            <w:r>
              <w:rPr>
                <w:rFonts w:hint="eastAsia" w:cs="Times New Roman" w:eastAsiaTheme="majorEastAsia"/>
                <w:color w:val="000000"/>
                <w:sz w:val="22"/>
                <w:szCs w:val="22"/>
                <w:lang w:val="en-US" w:eastAsia="zh-CN"/>
              </w:rPr>
              <w:t>10</w:t>
            </w:r>
            <w:r>
              <w:rPr>
                <w:rFonts w:hint="default" w:ascii="Times New Roman" w:hAnsi="Times New Roman" w:cs="Times New Roman" w:eastAsiaTheme="majorEastAsia"/>
                <w:color w:val="000000"/>
                <w:sz w:val="22"/>
                <w:szCs w:val="22"/>
              </w:rPr>
              <w:t>学分。</w:t>
            </w:r>
          </w:p>
          <w:p w14:paraId="3C075B17">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3. 以同等学力考入的研究生，要补修有关的大学本科基础课程3门；跨学科或基础理论或专业知识有着某方面的缺陷、需要入学后进行适当补课的研究生，要补修相关学科的本科课程，均不计学分。</w:t>
            </w:r>
          </w:p>
          <w:p w14:paraId="07AF24ED">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（五）教学和培养方式</w:t>
            </w:r>
          </w:p>
          <w:p w14:paraId="7BBC06A9">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在研究生入学后第一学期内，通过师生互选，进入学科方向研究组，为每位研究生配备一位或多位导师。一般采取导师与学科方向组集体培养相结合的方式。</w:t>
            </w:r>
          </w:p>
          <w:p w14:paraId="67EE0FC8">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在培养过程中应贯彻理论联系实际的原则，采取系统的理论学习与科学研究相结合的方法；注意因材施教，充分发挥研究生个人的特长和才能；可结合专业需要，有计划的邀请校内外专家来校讲学，或到兄弟院校和科研单位听课，有条件的专业可与兄弟院校、科研单位共同协作培养研究生。采用的教材，应反映本专业方向国内外的先进水平。导师必须讲授研究生的专业课。研究生应该参加所属教研室的有关学术活动。</w:t>
            </w:r>
          </w:p>
          <w:p w14:paraId="250624AC">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b/>
                <w:bCs/>
                <w:color w:val="000000"/>
                <w:sz w:val="22"/>
                <w:szCs w:val="22"/>
              </w:rPr>
              <w:t>四、经济统计学</w:t>
            </w:r>
          </w:p>
          <w:p w14:paraId="0BFBFE47">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本专业方向旨在培养具有良好的数学与经济学素养，掌握统计学的基本理论和方法，熟悉主流人工智能统计分析运用技术，具备运用人工智能技术进行多模态数据整合处理与分析的能力，有开发基于大数据算法的统计模型的学术研究能力，有一定的跨数据、算法、模型、智能体与工作流等方面的综合应用开发能力，毕业生能够在企业、事业单位及经济管理部门从事统计调查、统计信息管理、数量分析等开发、应用与管理工作，也可在保险、金融、投资、社会保障等领域胜任风险分析与科学精算等数据科学相关的研究型工作。</w:t>
            </w:r>
          </w:p>
          <w:p w14:paraId="2C9A0CF9">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（一）培养目标和要求</w:t>
            </w:r>
          </w:p>
          <w:p w14:paraId="71BBDA17">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1.系统掌握现代经济学基础理论及分析方法，具备扎实的经济学建模与逻辑推理能力，能够运用定性与定量分析技术研究经济问题，跟踪并理解数字经济与智能经济等前沿领域的动态与发展。</w:t>
            </w:r>
          </w:p>
          <w:p w14:paraId="269AA048">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2.掌握先进的统计理论、模型与方法，具备良好的数学推导与建模能力，能够针对复杂问题构建统计模型，并结合人工智能技术开发相应算法，实现多模态数据的解释性与预测性分析；</w:t>
            </w:r>
          </w:p>
          <w:p w14:paraId="64EF7D15">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3.系统掌握统计调查理论与实务，具备独立设计并实施统计调查方案的能力，能够运用现代数据采集与挖掘技术获取结构化与非结构化数据，具备多源数据的清洗、整合与管理能力；</w:t>
            </w:r>
          </w:p>
          <w:p w14:paraId="5544D3EB">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4.精通SAS、R、Python、Matlab等主流数据分析与建模工具，能够开发面向大数据环境的统计与机器学习算法，具备较强的学术研究与模型实现能力；</w:t>
            </w:r>
          </w:p>
          <w:p w14:paraId="275A22A9">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5.具备人工智能开发平台的深度应用能力，能够结合业务场景精准分析需求，设计并优化算法，完成数据与模型的高效整合，构建智能体与自动化工作流，推动业务智能化；</w:t>
            </w:r>
          </w:p>
          <w:p w14:paraId="4B025130">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6.熟练掌握一门外语，具有较强的听、说、读、写综合能力，能熟练阅读外文专业文献，撰写学术论文与技术报告，并具备一定的国际视野与跨学科沟通能力。</w:t>
            </w:r>
          </w:p>
          <w:p w14:paraId="7BCCB141">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（二）研究领域</w:t>
            </w:r>
          </w:p>
          <w:p w14:paraId="2EA5238C">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1.经济金融统计理论与运用</w:t>
            </w:r>
          </w:p>
          <w:p w14:paraId="72B562C1">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2.复杂网络分析与空间统计方法</w:t>
            </w:r>
          </w:p>
          <w:p w14:paraId="65629C2C">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3.数据挖掘与人工智能运用</w:t>
            </w:r>
          </w:p>
          <w:p w14:paraId="5F7B1571">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（三）学术地位与研究成果</w:t>
            </w:r>
          </w:p>
          <w:p w14:paraId="0FF288EA">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该学科导师均具有博士学位，毕业于国内外名牌高校，均有高质量论文产出。近三年来，在Pacific-Basin Finance Journal, Journal of Computational and Applied Mathematics, Journal of Time Series Analysis, Scandinavian Journal of Statistics, Physica A等国内外一流中英文期刊上发表高质量论文23篇，其中，SCI一区和二区索引期刊论文的合计19篇，SSCI索引期刊论文合计4篇。目前承担各类国家、省部级专业课题多项。</w:t>
            </w:r>
          </w:p>
          <w:p w14:paraId="1E5243A0">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 （四）课程设置与学分要求</w:t>
            </w:r>
          </w:p>
          <w:p w14:paraId="54F920FF">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1. 本专业方向实行学分制，本专业方向硕士研究生至少应取得</w:t>
            </w:r>
            <w:r>
              <w:rPr>
                <w:rFonts w:hint="eastAsia" w:cs="Times New Roman" w:eastAsiaTheme="majorEastAsia"/>
                <w:color w:val="000000"/>
                <w:sz w:val="22"/>
                <w:szCs w:val="22"/>
                <w:lang w:val="en-US" w:eastAsia="zh-CN"/>
              </w:rPr>
              <w:t>41</w:t>
            </w:r>
            <w:r>
              <w:rPr>
                <w:rFonts w:hint="default" w:ascii="Times New Roman" w:hAnsi="Times New Roman" w:cs="Times New Roman" w:eastAsiaTheme="majorEastAsia"/>
                <w:color w:val="000000"/>
                <w:sz w:val="22"/>
                <w:szCs w:val="22"/>
              </w:rPr>
              <w:t>学分，方可申请硕士学位。</w:t>
            </w:r>
          </w:p>
          <w:p w14:paraId="7473C89A">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2. 课程设置分为学位课（包括公共课和学科基础课）、专业核心课和专业选修课。其中公共课5学分，学位基础课11学分，学位专业课12学分，选修课大于或等于</w:t>
            </w:r>
            <w:r>
              <w:rPr>
                <w:rFonts w:hint="eastAsia" w:cs="Times New Roman" w:eastAsiaTheme="majorEastAsia"/>
                <w:color w:val="000000"/>
                <w:sz w:val="22"/>
                <w:szCs w:val="22"/>
                <w:lang w:val="en-US" w:eastAsia="zh-CN"/>
              </w:rPr>
              <w:t>10</w:t>
            </w:r>
            <w:r>
              <w:rPr>
                <w:rFonts w:hint="default" w:ascii="Times New Roman" w:hAnsi="Times New Roman" w:cs="Times New Roman" w:eastAsiaTheme="majorEastAsia"/>
                <w:color w:val="000000"/>
                <w:sz w:val="22"/>
                <w:szCs w:val="22"/>
              </w:rPr>
              <w:t>学分。</w:t>
            </w:r>
          </w:p>
          <w:p w14:paraId="18E3A05A">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3. 以同等学力考入的研究生，要补修有关的大学本科基础课程三门；跨学科或基础理论或专业知识有着某方面的缺陷、需要入学后进行适当补课的研究生，要补修相关学科的本科课程，均不计学分。</w:t>
            </w:r>
          </w:p>
          <w:p w14:paraId="6F8B5F74">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（五）教学和培养方式</w:t>
            </w:r>
          </w:p>
          <w:p w14:paraId="50D9DF46">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在研究生入学后第一学期内，通过师生互选，为每位研究生配备一位或多位导师。一般采取以导师指导为主，导师与学科指导小组集体培养相结合的方式。</w:t>
            </w:r>
          </w:p>
          <w:p w14:paraId="55A985F4">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  </w:t>
            </w:r>
            <w:r>
              <w:rPr>
                <w:rFonts w:hint="default" w:ascii="Times New Roman" w:hAnsi="Times New Roman" w:cs="Times New Roman" w:eastAsiaTheme="majorEastAsia"/>
                <w:b/>
                <w:bCs/>
                <w:color w:val="000000"/>
                <w:sz w:val="22"/>
                <w:szCs w:val="22"/>
              </w:rPr>
              <w:t>五、教育经济与政策</w:t>
            </w:r>
          </w:p>
          <w:p w14:paraId="70F90F9D">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本学科旨在培养掌握宽厚精深的经济学理论体系与系统的教育经济学专业知识，具有创新创业思维与管理能力，能够理论联系实际，规范的经济学研究方法，为教育均衡发展、人力资本增进和科教兴国、教育政策评估和优化、多方参与的教育事业发展及规制提供交叉学科的新理论视角、知识和决策咨询建议，为教育部门、相关机构和企事业单位培养具备教育与经济交叉研究能力、实践知识和理论素养的高层次复合型人才。</w:t>
            </w:r>
          </w:p>
          <w:p w14:paraId="66CB455F">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本专业方向现有教授3名，副教授4名，均具有相关专业名校博士学位，具有多年从事相关专业研究生培养和科研工作的经验。</w:t>
            </w:r>
          </w:p>
          <w:p w14:paraId="5E409DB0">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（一）培养目标和要求</w:t>
            </w:r>
          </w:p>
          <w:p w14:paraId="3CD4E657">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1. 努力学习马列主义、毛泽东思想、邓小平理论与习近平新时代中国特色社会主义思想，坚持党的基本路线，热爱祖国，遵纪守法，品德良好，学风严谨，具有较强的事业心和献身精神，积极为社会主义现代化建设服务。</w:t>
            </w:r>
          </w:p>
          <w:p w14:paraId="5FA93226">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2. 着力培养系统掌握教育经济与政策领域的理论知识与研究方法，具备坚实的经济学理论基础和系统深入的专业知识，熟悉教育事业发展和教育政策及其改革，能理论联系实际，熟练地运用现代经济分析工具，创造性地解决相关教育经济问题，具有一定原创性研究能力和较强应用技能的专业复合型人才。本专业人才的主要培养去向包括教育主管部门、高校和教育集团的发展规划部门、教育规划与政策领域高端智库、教育经济与管理及师范类专业师资、教育关联的金融、房产和咨询等行业的有关机构和企事业单位。</w:t>
            </w:r>
          </w:p>
          <w:p w14:paraId="027482C2">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3. 积极参加体育锻炼，身体健康。</w:t>
            </w:r>
          </w:p>
          <w:p w14:paraId="0D2F15F9">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4. 掌握一门外国语，具备较强的听、说、读、写能力；能够比较熟练地阅读教育经济专业外文资料并用外文撰写专业资料，具有一定的跨文化专业交流能力。</w:t>
            </w:r>
          </w:p>
          <w:p w14:paraId="7740F437">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（二）研究领域</w:t>
            </w:r>
          </w:p>
          <w:p w14:paraId="0C83E72E">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1. 教育大数据与教育政策评价</w:t>
            </w:r>
          </w:p>
          <w:p w14:paraId="0E46C5FC">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2．高等教育与经济高质量发展</w:t>
            </w:r>
          </w:p>
          <w:p w14:paraId="39BF7350">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3. 教育资源空间规划与区域经济协调发展</w:t>
            </w:r>
          </w:p>
          <w:p w14:paraId="28F897C0">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4. 教育发展与人力资本培育</w:t>
            </w:r>
          </w:p>
          <w:p w14:paraId="226A136A">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（三）学术地位与研究成果</w:t>
            </w:r>
          </w:p>
          <w:p w14:paraId="1DDF2E7A">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本专业依托上海师范大学具竞争优势的教育学、经济学、数学、计算机和人工智能相关学科的研究积淀和学科基础，充分整合已有学科资源，彰显学校教育研究特色，目前承担一批包括国家社科基金重点项目、上海市决策咨询重点项目等在内的研究课题。团队教师曾获得薛暮桥价格研究奖、省哲社优秀成果奖、全国商务发展研究成果奖等一批有影响学术奖励，近年来在《教育研究》、</w:t>
            </w:r>
            <w:r>
              <w:rPr>
                <w:rFonts w:hint="default" w:ascii="Times New Roman" w:hAnsi="Times New Roman" w:cs="Times New Roman" w:eastAsiaTheme="majorEastAsia"/>
                <w:i/>
                <w:iCs/>
                <w:color w:val="000000"/>
                <w:sz w:val="22"/>
                <w:szCs w:val="22"/>
              </w:rPr>
              <w:t>China &amp; World Economy、Applied Economics、BMC Medical Education</w:t>
            </w:r>
            <w:r>
              <w:rPr>
                <w:rFonts w:hint="default" w:ascii="Times New Roman" w:hAnsi="Times New Roman" w:cs="Times New Roman" w:eastAsiaTheme="majorEastAsia"/>
                <w:color w:val="000000"/>
                <w:sz w:val="22"/>
                <w:szCs w:val="22"/>
              </w:rPr>
              <w:t>、《经济管理》等国内外有影响期刊上发表文章。</w:t>
            </w:r>
          </w:p>
          <w:p w14:paraId="222D12E5">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（四） 课程设置与学分要求</w:t>
            </w:r>
          </w:p>
          <w:p w14:paraId="4BE8EC33">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1. 本专业方向实行学分制，本专业方向硕士研究生至少应取得</w:t>
            </w:r>
            <w:r>
              <w:rPr>
                <w:rFonts w:hint="eastAsia" w:cs="Times New Roman" w:eastAsiaTheme="majorEastAsia"/>
                <w:color w:val="000000"/>
                <w:sz w:val="22"/>
                <w:szCs w:val="22"/>
                <w:lang w:val="en-US" w:eastAsia="zh-CN"/>
              </w:rPr>
              <w:t>41</w:t>
            </w:r>
            <w:r>
              <w:rPr>
                <w:rFonts w:hint="default" w:ascii="Times New Roman" w:hAnsi="Times New Roman" w:cs="Times New Roman" w:eastAsiaTheme="majorEastAsia"/>
                <w:color w:val="000000"/>
                <w:sz w:val="22"/>
                <w:szCs w:val="22"/>
              </w:rPr>
              <w:t>学分，方可申请硕士学位。</w:t>
            </w:r>
          </w:p>
          <w:p w14:paraId="4752176F">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2. 课程设置分为学位课（包括公共课和学科基础课）、专业核心课和专业选修课。其中公共课5学分，学位基础课11学分，学位专业课12学分，专业选修课大于或等于</w:t>
            </w:r>
            <w:r>
              <w:rPr>
                <w:rFonts w:hint="eastAsia" w:cs="Times New Roman" w:eastAsiaTheme="majorEastAsia"/>
                <w:color w:val="000000"/>
                <w:sz w:val="22"/>
                <w:szCs w:val="22"/>
                <w:lang w:val="en-US" w:eastAsia="zh-CN"/>
              </w:rPr>
              <w:t>10</w:t>
            </w:r>
            <w:r>
              <w:rPr>
                <w:rFonts w:hint="default" w:ascii="Times New Roman" w:hAnsi="Times New Roman" w:cs="Times New Roman" w:eastAsiaTheme="majorEastAsia"/>
                <w:color w:val="000000"/>
                <w:sz w:val="22"/>
                <w:szCs w:val="22"/>
              </w:rPr>
              <w:t>学分。</w:t>
            </w:r>
          </w:p>
          <w:p w14:paraId="4363CD53">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3. 以同等学力或跨学科考入学的研究生，入学后要补修相关学科的本科基础课程，均不计学分。</w:t>
            </w:r>
          </w:p>
          <w:p w14:paraId="4DBAA5FD">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（五）教学和培养方式</w:t>
            </w:r>
          </w:p>
          <w:p w14:paraId="3C9CD4C5">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在研究生入学后第一学期内，通过师生互选，为每位研究生配备一位或多位导师。一般采取以导师指导为主，导师与学科指导小组集体培养相结合的方式。</w:t>
            </w:r>
          </w:p>
          <w:p w14:paraId="6DA4356C">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eastAsia" w:cs="Times New Roman" w:eastAsiaTheme="majorEastAsia"/>
                <w:b/>
                <w:bCs/>
                <w:color w:val="000000"/>
                <w:sz w:val="22"/>
                <w:szCs w:val="22"/>
                <w:lang w:val="en-US" w:eastAsia="zh-CN"/>
              </w:rPr>
              <w:t>六</w:t>
            </w:r>
            <w:r>
              <w:rPr>
                <w:rFonts w:hint="default" w:ascii="Times New Roman" w:hAnsi="Times New Roman" w:cs="Times New Roman" w:eastAsiaTheme="majorEastAsia"/>
                <w:b/>
                <w:bCs/>
                <w:color w:val="000000"/>
                <w:sz w:val="22"/>
                <w:szCs w:val="22"/>
              </w:rPr>
              <w:t>、</w:t>
            </w:r>
            <w:r>
              <w:rPr>
                <w:rFonts w:hint="default" w:ascii="Times New Roman" w:hAnsi="Times New Roman" w:cs="Times New Roman" w:eastAsiaTheme="majorEastAsia"/>
                <w:b/>
                <w:bCs/>
                <w:color w:val="000000"/>
                <w:sz w:val="22"/>
                <w:szCs w:val="22"/>
                <w:lang w:val="en-US" w:eastAsia="zh-CN"/>
              </w:rPr>
              <w:t>能源与生态经济学</w:t>
            </w:r>
          </w:p>
          <w:p w14:paraId="57FE74EF">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本学科旨在培养具备坚实的能源与生态经济学的基础理论及系统的专门知识，能够熟练运用现代数量分析、系统分析等技术方法，识别与分析能源、生态经济发展与</w:t>
            </w:r>
            <w:r>
              <w:rPr>
                <w:rFonts w:hint="default" w:ascii="Times New Roman" w:hAnsi="Times New Roman" w:cs="Times New Roman" w:eastAsiaTheme="majorEastAsia"/>
                <w:color w:val="000000"/>
                <w:sz w:val="22"/>
                <w:szCs w:val="22"/>
                <w:lang w:val="en-US" w:eastAsia="zh-CN"/>
              </w:rPr>
              <w:t>环境</w:t>
            </w:r>
            <w:r>
              <w:rPr>
                <w:rFonts w:hint="default" w:ascii="Times New Roman" w:hAnsi="Times New Roman" w:cs="Times New Roman" w:eastAsiaTheme="majorEastAsia"/>
                <w:color w:val="000000"/>
                <w:sz w:val="22"/>
                <w:szCs w:val="22"/>
              </w:rPr>
              <w:t>保护</w:t>
            </w:r>
            <w:r>
              <w:rPr>
                <w:rFonts w:hint="default" w:ascii="Times New Roman" w:hAnsi="Times New Roman" w:cs="Times New Roman" w:eastAsiaTheme="majorEastAsia"/>
                <w:color w:val="000000"/>
                <w:sz w:val="22"/>
                <w:szCs w:val="22"/>
                <w:lang w:val="en-US" w:eastAsia="zh-CN"/>
              </w:rPr>
              <w:t>领域的</w:t>
            </w:r>
            <w:r>
              <w:rPr>
                <w:rFonts w:hint="default" w:ascii="Times New Roman" w:hAnsi="Times New Roman" w:cs="Times New Roman" w:eastAsiaTheme="majorEastAsia"/>
                <w:color w:val="000000"/>
                <w:sz w:val="22"/>
                <w:szCs w:val="22"/>
              </w:rPr>
              <w:t>相关问题，能够胜任本领域较高层次的关于气候变化应对、生态安全、能源转型、高质量发展等领域的专业研究与创新性管理，在生态文明建设、构建绿色循环低碳经济体系的科学</w:t>
            </w:r>
            <w:r>
              <w:rPr>
                <w:rFonts w:hint="default" w:ascii="Times New Roman" w:hAnsi="Times New Roman" w:cs="Times New Roman" w:eastAsiaTheme="majorEastAsia"/>
                <w:color w:val="000000"/>
                <w:sz w:val="22"/>
                <w:szCs w:val="22"/>
                <w:lang w:val="en-US" w:eastAsia="zh-CN"/>
              </w:rPr>
              <w:t>研究</w:t>
            </w:r>
            <w:r>
              <w:rPr>
                <w:rFonts w:hint="default" w:ascii="Times New Roman" w:hAnsi="Times New Roman" w:cs="Times New Roman" w:eastAsiaTheme="majorEastAsia"/>
                <w:color w:val="000000"/>
                <w:sz w:val="22"/>
                <w:szCs w:val="22"/>
              </w:rPr>
              <w:t>和管理上能做出创造性成果的</w:t>
            </w:r>
            <w:r>
              <w:rPr>
                <w:rFonts w:hint="default" w:ascii="Times New Roman" w:hAnsi="Times New Roman" w:cs="Times New Roman" w:eastAsiaTheme="majorEastAsia"/>
                <w:color w:val="000000"/>
                <w:sz w:val="22"/>
                <w:szCs w:val="22"/>
                <w:lang w:val="en-US" w:eastAsia="zh-CN"/>
              </w:rPr>
              <w:t>复合</w:t>
            </w:r>
            <w:r>
              <w:rPr>
                <w:rFonts w:hint="default" w:ascii="Times New Roman" w:hAnsi="Times New Roman" w:cs="Times New Roman" w:eastAsiaTheme="majorEastAsia"/>
                <w:color w:val="000000"/>
                <w:sz w:val="22"/>
                <w:szCs w:val="22"/>
              </w:rPr>
              <w:t>型</w:t>
            </w:r>
            <w:r>
              <w:rPr>
                <w:rFonts w:hint="default" w:ascii="Times New Roman" w:hAnsi="Times New Roman" w:cs="Times New Roman" w:eastAsiaTheme="majorEastAsia"/>
                <w:color w:val="000000"/>
                <w:sz w:val="22"/>
                <w:szCs w:val="22"/>
                <w:lang w:val="en-US" w:eastAsia="zh-CN"/>
              </w:rPr>
              <w:t>高层次</w:t>
            </w:r>
            <w:r>
              <w:rPr>
                <w:rFonts w:hint="default" w:ascii="Times New Roman" w:hAnsi="Times New Roman" w:cs="Times New Roman" w:eastAsiaTheme="majorEastAsia"/>
                <w:color w:val="000000"/>
                <w:sz w:val="22"/>
                <w:szCs w:val="22"/>
              </w:rPr>
              <w:t>人才。</w:t>
            </w:r>
          </w:p>
          <w:p w14:paraId="687D2B04">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本专业方向现有教授</w:t>
            </w:r>
            <w:r>
              <w:rPr>
                <w:rFonts w:hint="default" w:ascii="Times New Roman" w:hAnsi="Times New Roman" w:cs="Times New Roman" w:eastAsiaTheme="majorEastAsia"/>
                <w:color w:val="000000"/>
                <w:sz w:val="22"/>
                <w:szCs w:val="22"/>
                <w:lang w:val="en-US" w:eastAsia="zh-CN"/>
              </w:rPr>
              <w:t>4</w:t>
            </w:r>
            <w:r>
              <w:rPr>
                <w:rFonts w:hint="default" w:ascii="Times New Roman" w:hAnsi="Times New Roman" w:cs="Times New Roman" w:eastAsiaTheme="majorEastAsia"/>
                <w:color w:val="000000"/>
                <w:sz w:val="22"/>
                <w:szCs w:val="22"/>
              </w:rPr>
              <w:t>名，副教授</w:t>
            </w:r>
            <w:r>
              <w:rPr>
                <w:rFonts w:hint="default" w:ascii="Times New Roman" w:hAnsi="Times New Roman" w:cs="Times New Roman" w:eastAsiaTheme="majorEastAsia"/>
                <w:color w:val="000000"/>
                <w:sz w:val="22"/>
                <w:szCs w:val="22"/>
                <w:lang w:val="en-US" w:eastAsia="zh-CN"/>
              </w:rPr>
              <w:t>3</w:t>
            </w:r>
            <w:r>
              <w:rPr>
                <w:rFonts w:hint="default" w:ascii="Times New Roman" w:hAnsi="Times New Roman" w:cs="Times New Roman" w:eastAsiaTheme="majorEastAsia"/>
                <w:color w:val="000000"/>
                <w:sz w:val="22"/>
                <w:szCs w:val="22"/>
              </w:rPr>
              <w:t>名，均具有相关专业名校博士学位，具有多年从事相关专业研究生培养和科研工作的经验。</w:t>
            </w:r>
          </w:p>
          <w:p w14:paraId="6B5D53DE">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（一）培养目标和要求</w:t>
            </w:r>
          </w:p>
          <w:p w14:paraId="55AA9BE5">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1. 努力学习马列主义、毛泽东思想、邓小平理论与习近平新时代中国特色社会主义思想，坚持党的基本路线，热爱祖国，遵纪守法，品德良好，学风严谨，具有较强的事业心和献身精神，积极为社会主义现代化建设服务。</w:t>
            </w:r>
          </w:p>
          <w:p w14:paraId="7DCF59BC">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2. 着力</w:t>
            </w:r>
            <w:r>
              <w:rPr>
                <w:rFonts w:hint="default" w:ascii="Times New Roman" w:hAnsi="Times New Roman" w:cs="Times New Roman" w:eastAsiaTheme="majorEastAsia"/>
                <w:color w:val="000000"/>
                <w:sz w:val="22"/>
                <w:szCs w:val="22"/>
                <w:lang w:val="en-US" w:eastAsia="zh-CN"/>
              </w:rPr>
              <w:t>培养系统掌握能源与生态经济领域的理论知识和研究方法，具备坚实的经济基础理论和系统深入的专业知识。掌握本领域的基础研究成果，具备学术研究的基本能力。能够针对能源与生态经济的现实问题进行调查研究、设计方案、构建模型、实证检验，并具有持续学习、创新、提高的基础与能力。思维严谨，具有发现问题、提出问题和解决问题的基本能力，能独立承担能源-生态-经济复杂系统分析、政策评估与制定以及绿色投融资决策。毕业生主要去向为在政府部门、研究机构、高校、企业、金融机构及国际组织从事管理、咨询和研究等中高层实务工作。</w:t>
            </w:r>
          </w:p>
          <w:p w14:paraId="6BCC45E0">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3. 积极参加体育锻炼，身体健康。</w:t>
            </w:r>
          </w:p>
          <w:p w14:paraId="76B00034">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4. 掌握一门外国语，具备较强的听、说、读、写能力；能够比较熟练地阅读教育经济专业外文资料并用外文撰写专业资料，具有一定的跨文化专业交流能力。</w:t>
            </w:r>
          </w:p>
          <w:p w14:paraId="1F9F6414">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（二）研究领域</w:t>
            </w:r>
          </w:p>
          <w:p w14:paraId="4C819E7E">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1.</w:t>
            </w:r>
            <w:r>
              <w:rPr>
                <w:rFonts w:hint="default" w:ascii="Times New Roman" w:hAnsi="Times New Roman" w:cs="Times New Roman" w:eastAsiaTheme="majorEastAsia"/>
                <w:color w:val="000000"/>
                <w:sz w:val="22"/>
                <w:szCs w:val="22"/>
                <w:lang w:val="en-US" w:eastAsia="zh-CN"/>
              </w:rPr>
              <w:t xml:space="preserve"> </w:t>
            </w:r>
            <w:r>
              <w:rPr>
                <w:rFonts w:hint="default" w:ascii="Times New Roman" w:hAnsi="Times New Roman" w:cs="Times New Roman" w:eastAsiaTheme="majorEastAsia"/>
                <w:color w:val="000000"/>
                <w:sz w:val="22"/>
                <w:szCs w:val="22"/>
              </w:rPr>
              <w:t>生态经济学与政策；</w:t>
            </w:r>
          </w:p>
          <w:p w14:paraId="1D3F3893">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2. 绿色金融与可持续性投资；</w:t>
            </w:r>
          </w:p>
          <w:p w14:paraId="3C6FBFBC">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3.</w:t>
            </w:r>
            <w:r>
              <w:rPr>
                <w:rFonts w:hint="default" w:ascii="Times New Roman" w:hAnsi="Times New Roman" w:cs="Times New Roman" w:eastAsiaTheme="majorEastAsia"/>
                <w:color w:val="000000"/>
                <w:sz w:val="22"/>
                <w:szCs w:val="22"/>
                <w:lang w:val="en-US" w:eastAsia="zh-CN"/>
              </w:rPr>
              <w:t xml:space="preserve"> </w:t>
            </w:r>
            <w:r>
              <w:rPr>
                <w:rFonts w:hint="default" w:ascii="Times New Roman" w:hAnsi="Times New Roman" w:cs="Times New Roman" w:eastAsiaTheme="majorEastAsia"/>
                <w:color w:val="000000"/>
                <w:sz w:val="22"/>
                <w:szCs w:val="22"/>
              </w:rPr>
              <w:t>气候变化应对与能源经济学</w:t>
            </w:r>
            <w:r>
              <w:rPr>
                <w:rFonts w:hint="default" w:ascii="Times New Roman" w:hAnsi="Times New Roman" w:cs="Times New Roman" w:eastAsiaTheme="majorEastAsia"/>
                <w:color w:val="000000"/>
                <w:sz w:val="22"/>
                <w:szCs w:val="22"/>
                <w:lang w:eastAsia="zh-CN"/>
              </w:rPr>
              <w:t>；</w:t>
            </w:r>
            <w:r>
              <w:rPr>
                <w:rFonts w:hint="default" w:ascii="Times New Roman" w:hAnsi="Times New Roman" w:cs="Times New Roman" w:eastAsiaTheme="majorEastAsia"/>
                <w:color w:val="000000"/>
                <w:sz w:val="22"/>
                <w:szCs w:val="22"/>
              </w:rPr>
              <w:t xml:space="preserve"> </w:t>
            </w:r>
          </w:p>
          <w:p w14:paraId="072BFBE6">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4.</w:t>
            </w:r>
            <w:r>
              <w:rPr>
                <w:rFonts w:hint="default" w:ascii="Times New Roman" w:hAnsi="Times New Roman" w:cs="Times New Roman" w:eastAsiaTheme="majorEastAsia"/>
                <w:color w:val="000000"/>
                <w:sz w:val="22"/>
                <w:szCs w:val="22"/>
                <w:lang w:val="en-US" w:eastAsia="zh-CN"/>
              </w:rPr>
              <w:t xml:space="preserve"> </w:t>
            </w:r>
            <w:r>
              <w:rPr>
                <w:rFonts w:hint="default" w:ascii="Times New Roman" w:hAnsi="Times New Roman" w:cs="Times New Roman" w:eastAsiaTheme="majorEastAsia"/>
                <w:color w:val="000000"/>
                <w:sz w:val="22"/>
                <w:szCs w:val="22"/>
              </w:rPr>
              <w:t>全球环境冲突与治理</w:t>
            </w:r>
          </w:p>
          <w:p w14:paraId="59E0FF4B">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（三）学术地位与研究成果</w:t>
            </w:r>
          </w:p>
          <w:p w14:paraId="3887460A">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本专业依托上海师范大学具竞争优势的经济学、</w:t>
            </w:r>
            <w:r>
              <w:rPr>
                <w:rFonts w:hint="default" w:ascii="Times New Roman" w:hAnsi="Times New Roman" w:cs="Times New Roman" w:eastAsiaTheme="majorEastAsia"/>
                <w:color w:val="000000"/>
                <w:sz w:val="22"/>
                <w:szCs w:val="22"/>
                <w:lang w:val="en-US" w:eastAsia="zh-CN"/>
              </w:rPr>
              <w:t>管理科学与工程、法学、生态学、地理科学、历史地理、环境科学与工程、</w:t>
            </w:r>
            <w:r>
              <w:rPr>
                <w:rFonts w:hint="default" w:ascii="Times New Roman" w:hAnsi="Times New Roman" w:cs="Times New Roman" w:eastAsiaTheme="majorEastAsia"/>
                <w:color w:val="000000"/>
                <w:sz w:val="22"/>
                <w:szCs w:val="22"/>
              </w:rPr>
              <w:t>数学、计算机和人工智能</w:t>
            </w:r>
            <w:r>
              <w:rPr>
                <w:rFonts w:hint="default" w:ascii="Times New Roman" w:hAnsi="Times New Roman" w:cs="Times New Roman" w:eastAsiaTheme="majorEastAsia"/>
                <w:color w:val="000000"/>
                <w:sz w:val="22"/>
                <w:szCs w:val="22"/>
                <w:lang w:val="en-US" w:eastAsia="zh-CN"/>
              </w:rPr>
              <w:t>等</w:t>
            </w:r>
            <w:r>
              <w:rPr>
                <w:rFonts w:hint="default" w:ascii="Times New Roman" w:hAnsi="Times New Roman" w:cs="Times New Roman" w:eastAsiaTheme="majorEastAsia"/>
                <w:color w:val="000000"/>
                <w:sz w:val="22"/>
                <w:szCs w:val="22"/>
              </w:rPr>
              <w:t>相关学科的研究积淀和学科基础，充分整合已有学科资源，彰显学校</w:t>
            </w:r>
            <w:r>
              <w:rPr>
                <w:rFonts w:hint="default" w:ascii="Times New Roman" w:hAnsi="Times New Roman" w:cs="Times New Roman" w:eastAsiaTheme="majorEastAsia"/>
                <w:color w:val="000000"/>
                <w:sz w:val="22"/>
                <w:szCs w:val="22"/>
                <w:lang w:val="en-US" w:eastAsia="zh-CN"/>
              </w:rPr>
              <w:t>综合性大学的研究特色</w:t>
            </w:r>
            <w:r>
              <w:rPr>
                <w:rFonts w:hint="default" w:ascii="Times New Roman" w:hAnsi="Times New Roman" w:cs="Times New Roman" w:eastAsiaTheme="majorEastAsia"/>
                <w:color w:val="000000"/>
                <w:sz w:val="22"/>
                <w:szCs w:val="22"/>
                <w:lang w:eastAsia="zh-CN"/>
              </w:rPr>
              <w:t>。</w:t>
            </w:r>
            <w:r>
              <w:rPr>
                <w:rFonts w:hint="default" w:ascii="Times New Roman" w:hAnsi="Times New Roman" w:cs="Times New Roman" w:eastAsiaTheme="majorEastAsia"/>
                <w:color w:val="000000"/>
                <w:sz w:val="22"/>
                <w:szCs w:val="22"/>
              </w:rPr>
              <w:t>目前承担一批包括国家社科基金</w:t>
            </w:r>
            <w:r>
              <w:rPr>
                <w:rFonts w:hint="default" w:ascii="Times New Roman" w:hAnsi="Times New Roman" w:cs="Times New Roman" w:eastAsiaTheme="majorEastAsia"/>
                <w:color w:val="000000"/>
                <w:sz w:val="22"/>
                <w:szCs w:val="22"/>
                <w:lang w:val="en-US" w:eastAsia="zh-CN"/>
              </w:rPr>
              <w:t>重大与重点项目</w:t>
            </w:r>
            <w:r>
              <w:rPr>
                <w:rFonts w:hint="default" w:ascii="Times New Roman" w:hAnsi="Times New Roman" w:cs="Times New Roman" w:eastAsiaTheme="majorEastAsia"/>
                <w:color w:val="000000"/>
                <w:sz w:val="22"/>
                <w:szCs w:val="22"/>
              </w:rPr>
              <w:t>、</w:t>
            </w:r>
            <w:r>
              <w:rPr>
                <w:rFonts w:hint="default" w:ascii="Times New Roman" w:hAnsi="Times New Roman" w:cs="Times New Roman" w:eastAsiaTheme="majorEastAsia"/>
                <w:color w:val="000000"/>
                <w:sz w:val="22"/>
                <w:szCs w:val="22"/>
                <w:lang w:val="en-US" w:eastAsia="zh-CN"/>
              </w:rPr>
              <w:t>国家自然科学基金项目、科技部政府间合作专项</w:t>
            </w:r>
            <w:r>
              <w:rPr>
                <w:rFonts w:hint="default" w:ascii="Times New Roman" w:hAnsi="Times New Roman" w:cs="Times New Roman" w:eastAsiaTheme="majorEastAsia"/>
                <w:color w:val="000000"/>
                <w:sz w:val="22"/>
                <w:szCs w:val="22"/>
              </w:rPr>
              <w:t>等研究课题。团队教师曾获得</w:t>
            </w:r>
            <w:r>
              <w:rPr>
                <w:rFonts w:hint="default" w:ascii="Times New Roman" w:hAnsi="Times New Roman" w:cs="Times New Roman" w:eastAsiaTheme="majorEastAsia"/>
                <w:color w:val="000000"/>
                <w:sz w:val="22"/>
                <w:szCs w:val="22"/>
                <w:lang w:val="en-US" w:eastAsia="zh-CN"/>
              </w:rPr>
              <w:t>教育部高等学校科学研究优秀成果奖</w:t>
            </w:r>
            <w:r>
              <w:rPr>
                <w:rFonts w:hint="default" w:ascii="Times New Roman" w:hAnsi="Times New Roman" w:cs="Times New Roman" w:eastAsiaTheme="majorEastAsia"/>
                <w:color w:val="000000"/>
                <w:sz w:val="22"/>
                <w:szCs w:val="22"/>
              </w:rPr>
              <w:t>、</w:t>
            </w:r>
            <w:r>
              <w:rPr>
                <w:rFonts w:hint="default" w:ascii="Times New Roman" w:hAnsi="Times New Roman" w:cs="Times New Roman" w:eastAsiaTheme="majorEastAsia"/>
                <w:color w:val="000000"/>
                <w:sz w:val="22"/>
                <w:szCs w:val="22"/>
                <w:lang w:val="en-US" w:eastAsia="zh-CN"/>
              </w:rPr>
              <w:t>上海市</w:t>
            </w:r>
            <w:r>
              <w:rPr>
                <w:rFonts w:hint="default" w:ascii="Times New Roman" w:hAnsi="Times New Roman" w:cs="Times New Roman" w:eastAsiaTheme="majorEastAsia"/>
                <w:color w:val="000000"/>
                <w:sz w:val="22"/>
                <w:szCs w:val="22"/>
              </w:rPr>
              <w:t>哲</w:t>
            </w:r>
            <w:r>
              <w:rPr>
                <w:rFonts w:hint="default" w:ascii="Times New Roman" w:hAnsi="Times New Roman" w:cs="Times New Roman" w:eastAsiaTheme="majorEastAsia"/>
                <w:color w:val="000000"/>
                <w:sz w:val="22"/>
                <w:szCs w:val="22"/>
                <w:lang w:val="en-US" w:eastAsia="zh-CN"/>
              </w:rPr>
              <w:t>学</w:t>
            </w:r>
            <w:r>
              <w:rPr>
                <w:rFonts w:hint="default" w:ascii="Times New Roman" w:hAnsi="Times New Roman" w:cs="Times New Roman" w:eastAsiaTheme="majorEastAsia"/>
                <w:color w:val="000000"/>
                <w:sz w:val="22"/>
                <w:szCs w:val="22"/>
              </w:rPr>
              <w:t>社</w:t>
            </w:r>
            <w:r>
              <w:rPr>
                <w:rFonts w:hint="default" w:ascii="Times New Roman" w:hAnsi="Times New Roman" w:cs="Times New Roman" w:eastAsiaTheme="majorEastAsia"/>
                <w:color w:val="000000"/>
                <w:sz w:val="22"/>
                <w:szCs w:val="22"/>
                <w:lang w:val="en-US" w:eastAsia="zh-CN"/>
              </w:rPr>
              <w:t>会科学</w:t>
            </w:r>
            <w:r>
              <w:rPr>
                <w:rFonts w:hint="default" w:ascii="Times New Roman" w:hAnsi="Times New Roman" w:cs="Times New Roman" w:eastAsiaTheme="majorEastAsia"/>
                <w:color w:val="000000"/>
                <w:sz w:val="22"/>
                <w:szCs w:val="22"/>
              </w:rPr>
              <w:t>优秀成果奖等</w:t>
            </w:r>
            <w:r>
              <w:rPr>
                <w:rFonts w:hint="default" w:ascii="Times New Roman" w:hAnsi="Times New Roman" w:cs="Times New Roman" w:eastAsiaTheme="majorEastAsia"/>
                <w:color w:val="000000"/>
                <w:sz w:val="22"/>
                <w:szCs w:val="22"/>
                <w:lang w:val="en-US" w:eastAsia="zh-CN"/>
              </w:rPr>
              <w:t>多项省部级奖励</w:t>
            </w:r>
            <w:r>
              <w:rPr>
                <w:rFonts w:hint="default" w:ascii="Times New Roman" w:hAnsi="Times New Roman" w:cs="Times New Roman" w:eastAsiaTheme="majorEastAsia"/>
                <w:color w:val="000000"/>
                <w:sz w:val="22"/>
                <w:szCs w:val="22"/>
              </w:rPr>
              <w:t>，近年来在</w:t>
            </w:r>
            <w:r>
              <w:rPr>
                <w:rFonts w:hint="default" w:ascii="Times New Roman" w:hAnsi="Times New Roman" w:cs="Times New Roman" w:eastAsiaTheme="majorEastAsia"/>
                <w:color w:val="000000"/>
                <w:sz w:val="22"/>
                <w:szCs w:val="22"/>
                <w:lang w:eastAsia="zh-CN"/>
              </w:rPr>
              <w:t>《</w:t>
            </w:r>
            <w:r>
              <w:rPr>
                <w:rFonts w:hint="default" w:ascii="Times New Roman" w:hAnsi="Times New Roman" w:cs="Times New Roman" w:eastAsiaTheme="majorEastAsia"/>
                <w:color w:val="000000"/>
                <w:sz w:val="22"/>
                <w:szCs w:val="22"/>
                <w:lang w:val="en-US" w:eastAsia="zh-CN"/>
              </w:rPr>
              <w:t>经济研究》、</w:t>
            </w:r>
            <w:r>
              <w:rPr>
                <w:rFonts w:hint="default" w:ascii="Times New Roman" w:hAnsi="Times New Roman" w:cs="Times New Roman" w:eastAsiaTheme="majorEastAsia"/>
                <w:color w:val="000000"/>
                <w:sz w:val="22"/>
                <w:szCs w:val="22"/>
                <w:lang w:eastAsia="zh-CN"/>
              </w:rPr>
              <w:t>《</w:t>
            </w:r>
            <w:r>
              <w:rPr>
                <w:rFonts w:hint="default" w:ascii="Times New Roman" w:hAnsi="Times New Roman" w:cs="Times New Roman" w:eastAsiaTheme="majorEastAsia"/>
                <w:color w:val="000000"/>
                <w:sz w:val="22"/>
                <w:szCs w:val="22"/>
                <w:lang w:val="en-US" w:eastAsia="zh-CN"/>
              </w:rPr>
              <w:t>管理世界》、《China Agricultural Economic Review》</w:t>
            </w:r>
            <w:r>
              <w:rPr>
                <w:rFonts w:hint="default" w:ascii="Times New Roman" w:hAnsi="Times New Roman" w:cs="Times New Roman" w:eastAsiaTheme="majorEastAsia"/>
                <w:color w:val="000000"/>
                <w:sz w:val="22"/>
                <w:szCs w:val="22"/>
              </w:rPr>
              <w:t>等国内外</w:t>
            </w:r>
            <w:r>
              <w:rPr>
                <w:rFonts w:hint="default" w:ascii="Times New Roman" w:hAnsi="Times New Roman" w:cs="Times New Roman" w:eastAsiaTheme="majorEastAsia"/>
                <w:color w:val="000000"/>
                <w:sz w:val="22"/>
                <w:szCs w:val="22"/>
                <w:lang w:val="en-US" w:eastAsia="zh-CN"/>
              </w:rPr>
              <w:t>权威</w:t>
            </w:r>
            <w:r>
              <w:rPr>
                <w:rFonts w:hint="default" w:ascii="Times New Roman" w:hAnsi="Times New Roman" w:cs="Times New Roman" w:eastAsiaTheme="majorEastAsia"/>
                <w:color w:val="000000"/>
                <w:sz w:val="22"/>
                <w:szCs w:val="22"/>
              </w:rPr>
              <w:t>期刊上发表</w:t>
            </w:r>
            <w:r>
              <w:rPr>
                <w:rFonts w:hint="default" w:ascii="Times New Roman" w:hAnsi="Times New Roman" w:cs="Times New Roman" w:eastAsiaTheme="majorEastAsia"/>
                <w:color w:val="000000"/>
                <w:sz w:val="22"/>
                <w:szCs w:val="22"/>
                <w:lang w:val="en-US" w:eastAsia="zh-CN"/>
              </w:rPr>
              <w:t>多篇学术论文</w:t>
            </w:r>
            <w:r>
              <w:rPr>
                <w:rFonts w:hint="default" w:ascii="Times New Roman" w:hAnsi="Times New Roman" w:cs="Times New Roman" w:eastAsiaTheme="majorEastAsia"/>
                <w:color w:val="000000"/>
                <w:sz w:val="22"/>
                <w:szCs w:val="22"/>
              </w:rPr>
              <w:t>。</w:t>
            </w:r>
          </w:p>
          <w:p w14:paraId="7FA87953">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（四） 课程设置与学分要求</w:t>
            </w:r>
          </w:p>
          <w:p w14:paraId="261AFB86">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1. 本专业方向实行学分制，本专业方向硕士研究生至少应取得</w:t>
            </w:r>
            <w:r>
              <w:rPr>
                <w:rFonts w:hint="eastAsia" w:cs="Times New Roman" w:eastAsiaTheme="majorEastAsia"/>
                <w:color w:val="000000"/>
                <w:sz w:val="22"/>
                <w:szCs w:val="22"/>
                <w:lang w:val="en-US" w:eastAsia="zh-CN"/>
              </w:rPr>
              <w:t>41</w:t>
            </w:r>
            <w:r>
              <w:rPr>
                <w:rFonts w:hint="default" w:ascii="Times New Roman" w:hAnsi="Times New Roman" w:cs="Times New Roman" w:eastAsiaTheme="majorEastAsia"/>
                <w:color w:val="000000"/>
                <w:sz w:val="22"/>
                <w:szCs w:val="22"/>
              </w:rPr>
              <w:t>学分，方可申请硕士学位。</w:t>
            </w:r>
          </w:p>
          <w:p w14:paraId="48D0FD3C">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2. 课程设置分为学位课（包括公共课和学科基础课）、专业核心课和专业选修课。其中公共课5学分，学位基础课11学分，学位专业课12学分，专业选修课大于或等于</w:t>
            </w:r>
            <w:r>
              <w:rPr>
                <w:rFonts w:hint="eastAsia" w:cs="Times New Roman" w:eastAsiaTheme="majorEastAsia"/>
                <w:color w:val="000000"/>
                <w:sz w:val="22"/>
                <w:szCs w:val="22"/>
                <w:lang w:val="en-US" w:eastAsia="zh-CN"/>
              </w:rPr>
              <w:t>10</w:t>
            </w:r>
            <w:r>
              <w:rPr>
                <w:rFonts w:hint="default" w:ascii="Times New Roman" w:hAnsi="Times New Roman" w:cs="Times New Roman" w:eastAsiaTheme="majorEastAsia"/>
                <w:color w:val="000000"/>
                <w:sz w:val="22"/>
                <w:szCs w:val="22"/>
              </w:rPr>
              <w:t>学分。</w:t>
            </w:r>
          </w:p>
          <w:p w14:paraId="48853AC7">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3. 以同等学力或跨学科考入学的研究生，入学后要补修相关学科的本科基础课程，均不计学分。</w:t>
            </w:r>
          </w:p>
          <w:p w14:paraId="36FBA1EF">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（五）教学和培养方式</w:t>
            </w:r>
          </w:p>
          <w:p w14:paraId="490C7EE8">
            <w:pPr>
              <w:keepNext w:val="0"/>
              <w:keepLines w:val="0"/>
              <w:pageBreakBefore w:val="0"/>
              <w:widowControl/>
              <w:kinsoku/>
              <w:wordWrap/>
              <w:overflowPunct/>
              <w:topLinePunct w:val="0"/>
              <w:autoSpaceDE/>
              <w:autoSpaceDN/>
              <w:bidi w:val="0"/>
              <w:adjustRightInd/>
              <w:snapToGrid/>
              <w:spacing w:line="360" w:lineRule="auto"/>
              <w:ind w:firstLine="480" w:firstLineChars="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在研究生入学后第一学期内，通过师生互选，为每位研究生配备一位或多位导师。一般采取以导师指导为主，导师与学科指导小组集体培养相结合的方式。</w:t>
            </w:r>
          </w:p>
          <w:p w14:paraId="0BD7404B">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b/>
                <w:bCs/>
                <w:sz w:val="22"/>
                <w:szCs w:val="22"/>
              </w:rPr>
            </w:pPr>
            <w:r>
              <w:rPr>
                <w:rFonts w:hint="eastAsia" w:cs="Times New Roman" w:eastAsiaTheme="majorEastAsia"/>
                <w:b/>
                <w:bCs/>
                <w:color w:val="000000"/>
                <w:sz w:val="22"/>
                <w:szCs w:val="22"/>
                <w:lang w:val="en-US" w:eastAsia="zh-CN"/>
              </w:rPr>
              <w:t>七</w:t>
            </w:r>
            <w:r>
              <w:rPr>
                <w:rFonts w:hint="default" w:ascii="Times New Roman" w:hAnsi="Times New Roman" w:cs="Times New Roman" w:eastAsiaTheme="majorEastAsia"/>
                <w:b/>
                <w:bCs/>
                <w:color w:val="000000"/>
                <w:sz w:val="22"/>
                <w:szCs w:val="22"/>
              </w:rPr>
              <w:t>、全球城市经济与治理</w:t>
            </w:r>
          </w:p>
          <w:p w14:paraId="177CF59B">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本专业旨在培养研究生具备良好的城市经济学理论素养及创新精神，掌握基本的城市经济学专业知识和必要的城市科学交叉学科的知识，能够熟练运用现代数量分析方法，观察分析</w:t>
            </w:r>
            <w:r>
              <w:rPr>
                <w:rFonts w:hint="default" w:ascii="Times New Roman" w:hAnsi="Times New Roman" w:cs="Times New Roman" w:eastAsiaTheme="majorEastAsia"/>
                <w:color w:val="000000"/>
                <w:sz w:val="22"/>
                <w:szCs w:val="22"/>
                <w:lang w:val="en-US" w:eastAsia="zh-CN"/>
              </w:rPr>
              <w:t>全球</w:t>
            </w:r>
            <w:r>
              <w:rPr>
                <w:rFonts w:hint="default" w:ascii="Times New Roman" w:hAnsi="Times New Roman" w:cs="Times New Roman" w:eastAsiaTheme="majorEastAsia"/>
                <w:color w:val="000000"/>
                <w:sz w:val="22"/>
                <w:szCs w:val="22"/>
              </w:rPr>
              <w:t>城市经济</w:t>
            </w:r>
            <w:r>
              <w:rPr>
                <w:rFonts w:hint="default" w:ascii="Times New Roman" w:hAnsi="Times New Roman" w:cs="Times New Roman" w:eastAsiaTheme="majorEastAsia"/>
                <w:color w:val="000000"/>
                <w:sz w:val="22"/>
                <w:szCs w:val="22"/>
                <w:lang w:val="en-US" w:eastAsia="zh-CN"/>
              </w:rPr>
              <w:t>和治理</w:t>
            </w:r>
            <w:r>
              <w:rPr>
                <w:rFonts w:hint="default" w:ascii="Times New Roman" w:hAnsi="Times New Roman" w:cs="Times New Roman" w:eastAsiaTheme="majorEastAsia"/>
                <w:color w:val="000000"/>
                <w:sz w:val="22"/>
                <w:szCs w:val="22"/>
              </w:rPr>
              <w:t>相关的问题，具有独立获取知识、科学研究与专业实践的能力，能够胜任较高层次的城市经济分析、研究、规划和管理方面的专业研究与创新性管理，在学术和管理上能做出创造性研究成果的应用创新型人才。</w:t>
            </w:r>
          </w:p>
          <w:p w14:paraId="210B5884">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（一）培养目标和要求</w:t>
            </w:r>
          </w:p>
          <w:p w14:paraId="7F55FA09">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1）以马克思列宁主义、毛泽东思想、邓小平理论、“三个代表”重要思想、科学发展观、习近平新时代中国特色社会主义思想，热爱祖国，遵纪守法，学风严谨，品行端正，身心健康，有较强的事业心和献身精神，积极为社会主义现代化建设服务。</w:t>
            </w:r>
          </w:p>
          <w:p w14:paraId="182E1E0E">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lang w:val="en-US" w:eastAsia="zh-CN"/>
              </w:rPr>
            </w:pPr>
            <w:r>
              <w:rPr>
                <w:rFonts w:hint="default" w:ascii="Times New Roman" w:hAnsi="Times New Roman" w:cs="Times New Roman" w:eastAsiaTheme="majorEastAsia"/>
                <w:color w:val="000000"/>
                <w:sz w:val="22"/>
                <w:szCs w:val="22"/>
              </w:rPr>
              <w:t>（2）掌握城市经济学的基础理论和相关专业知识，</w:t>
            </w:r>
            <w:r>
              <w:rPr>
                <w:rFonts w:hint="default" w:ascii="Times New Roman" w:hAnsi="Times New Roman" w:cs="Times New Roman" w:eastAsiaTheme="majorEastAsia"/>
                <w:color w:val="000000"/>
                <w:sz w:val="22"/>
                <w:szCs w:val="22"/>
                <w:lang w:val="en-US" w:eastAsia="zh-CN"/>
              </w:rPr>
              <w:t>并熟悉</w:t>
            </w:r>
            <w:r>
              <w:rPr>
                <w:rFonts w:hint="default" w:ascii="Times New Roman" w:hAnsi="Times New Roman" w:cs="Times New Roman" w:eastAsiaTheme="majorEastAsia"/>
                <w:color w:val="000000"/>
                <w:sz w:val="22"/>
                <w:szCs w:val="22"/>
              </w:rPr>
              <w:t>全球城市基本概念与内涵，</w:t>
            </w:r>
            <w:r>
              <w:rPr>
                <w:rFonts w:hint="default" w:ascii="Times New Roman" w:hAnsi="Times New Roman" w:cs="Times New Roman" w:eastAsiaTheme="majorEastAsia"/>
                <w:color w:val="000000"/>
                <w:sz w:val="22"/>
                <w:szCs w:val="22"/>
                <w:lang w:val="en-US" w:eastAsia="zh-CN"/>
              </w:rPr>
              <w:t>理解</w:t>
            </w:r>
            <w:r>
              <w:rPr>
                <w:rFonts w:hint="default" w:ascii="Times New Roman" w:hAnsi="Times New Roman" w:cs="Times New Roman" w:eastAsiaTheme="majorEastAsia"/>
                <w:color w:val="000000"/>
                <w:sz w:val="22"/>
                <w:szCs w:val="22"/>
              </w:rPr>
              <w:t>全球城市网络形成和发展机制，</w:t>
            </w:r>
            <w:r>
              <w:rPr>
                <w:rFonts w:hint="default" w:ascii="Times New Roman" w:hAnsi="Times New Roman" w:cs="Times New Roman" w:eastAsiaTheme="majorEastAsia"/>
                <w:color w:val="000000"/>
                <w:sz w:val="22"/>
                <w:szCs w:val="22"/>
                <w:lang w:val="en-US" w:eastAsia="zh-CN"/>
              </w:rPr>
              <w:t>理清</w:t>
            </w:r>
            <w:r>
              <w:rPr>
                <w:rFonts w:hint="default" w:ascii="Times New Roman" w:hAnsi="Times New Roman" w:cs="Times New Roman" w:eastAsiaTheme="majorEastAsia"/>
                <w:color w:val="000000"/>
                <w:sz w:val="22"/>
                <w:szCs w:val="22"/>
              </w:rPr>
              <w:t>全球城市空间</w:t>
            </w:r>
            <w:r>
              <w:rPr>
                <w:rFonts w:hint="default" w:ascii="Times New Roman" w:hAnsi="Times New Roman" w:cs="Times New Roman" w:eastAsiaTheme="majorEastAsia"/>
                <w:color w:val="000000"/>
                <w:sz w:val="22"/>
                <w:szCs w:val="22"/>
                <w:lang w:val="en-US" w:eastAsia="zh-CN"/>
              </w:rPr>
              <w:t>格局特征和</w:t>
            </w:r>
            <w:r>
              <w:rPr>
                <w:rFonts w:hint="default" w:ascii="Times New Roman" w:hAnsi="Times New Roman" w:cs="Times New Roman" w:eastAsiaTheme="majorEastAsia"/>
                <w:color w:val="000000"/>
                <w:sz w:val="22"/>
                <w:szCs w:val="22"/>
              </w:rPr>
              <w:t>产业发展规律</w:t>
            </w:r>
            <w:r>
              <w:rPr>
                <w:rFonts w:hint="default" w:ascii="Times New Roman" w:hAnsi="Times New Roman" w:cs="Times New Roman" w:eastAsiaTheme="majorEastAsia"/>
                <w:color w:val="000000"/>
                <w:sz w:val="22"/>
                <w:szCs w:val="22"/>
                <w:lang w:val="en-US" w:eastAsia="zh-CN"/>
              </w:rPr>
              <w:t>等基本专业知识。</w:t>
            </w:r>
          </w:p>
          <w:p w14:paraId="35CBBADF">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（3）了解</w:t>
            </w:r>
            <w:r>
              <w:rPr>
                <w:rFonts w:hint="default" w:ascii="Times New Roman" w:hAnsi="Times New Roman" w:cs="Times New Roman" w:eastAsiaTheme="majorEastAsia"/>
                <w:color w:val="000000"/>
                <w:sz w:val="22"/>
                <w:szCs w:val="22"/>
                <w:lang w:val="en-US" w:eastAsia="zh-CN"/>
              </w:rPr>
              <w:t>城市科学相关交叉学科的理论知识和技术方法</w:t>
            </w:r>
            <w:r>
              <w:rPr>
                <w:rFonts w:hint="default" w:ascii="Times New Roman" w:hAnsi="Times New Roman" w:cs="Times New Roman" w:eastAsiaTheme="majorEastAsia"/>
                <w:color w:val="000000"/>
                <w:sz w:val="22"/>
                <w:szCs w:val="22"/>
              </w:rPr>
              <w:t>，具备参与城市</w:t>
            </w:r>
            <w:r>
              <w:rPr>
                <w:rFonts w:hint="default" w:ascii="Times New Roman" w:hAnsi="Times New Roman" w:cs="Times New Roman" w:eastAsiaTheme="majorEastAsia"/>
                <w:color w:val="000000"/>
                <w:sz w:val="22"/>
                <w:szCs w:val="22"/>
                <w:lang w:val="en-US" w:eastAsia="zh-CN"/>
              </w:rPr>
              <w:t>研究</w:t>
            </w:r>
            <w:r>
              <w:rPr>
                <w:rFonts w:hint="default" w:ascii="Times New Roman" w:hAnsi="Times New Roman" w:cs="Times New Roman" w:eastAsiaTheme="majorEastAsia"/>
                <w:color w:val="000000"/>
                <w:sz w:val="22"/>
                <w:szCs w:val="22"/>
              </w:rPr>
              <w:t>课题的</w:t>
            </w:r>
            <w:r>
              <w:rPr>
                <w:rFonts w:hint="default" w:ascii="Times New Roman" w:hAnsi="Times New Roman" w:cs="Times New Roman" w:eastAsiaTheme="majorEastAsia"/>
                <w:color w:val="000000"/>
                <w:sz w:val="22"/>
                <w:szCs w:val="22"/>
                <w:lang w:val="en-US" w:eastAsia="zh-CN"/>
              </w:rPr>
              <w:t>综合</w:t>
            </w:r>
            <w:r>
              <w:rPr>
                <w:rFonts w:hint="default" w:ascii="Times New Roman" w:hAnsi="Times New Roman" w:cs="Times New Roman" w:eastAsiaTheme="majorEastAsia"/>
                <w:color w:val="000000"/>
                <w:sz w:val="22"/>
                <w:szCs w:val="22"/>
              </w:rPr>
              <w:t>方法和实践经验，能独立从事科研工作并做出具有一定创造性的研究成果。</w:t>
            </w:r>
          </w:p>
          <w:p w14:paraId="117A51A0">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lang w:eastAsia="zh-CN"/>
              </w:rPr>
              <w:t>（</w:t>
            </w:r>
            <w:r>
              <w:rPr>
                <w:rFonts w:hint="default" w:ascii="Times New Roman" w:hAnsi="Times New Roman" w:cs="Times New Roman" w:eastAsiaTheme="majorEastAsia"/>
                <w:color w:val="000000"/>
                <w:sz w:val="22"/>
                <w:szCs w:val="22"/>
                <w:lang w:val="en-US" w:eastAsia="zh-CN"/>
              </w:rPr>
              <w:t>4）</w:t>
            </w:r>
            <w:r>
              <w:rPr>
                <w:rFonts w:hint="default" w:ascii="Times New Roman" w:hAnsi="Times New Roman" w:cs="Times New Roman" w:eastAsiaTheme="majorEastAsia"/>
                <w:color w:val="000000"/>
                <w:sz w:val="22"/>
                <w:szCs w:val="22"/>
              </w:rPr>
              <w:t>掌握一门外国语，具备较强的听、说、读、写能力；能够比较熟练地阅读</w:t>
            </w:r>
            <w:r>
              <w:rPr>
                <w:rFonts w:hint="default" w:ascii="Times New Roman" w:hAnsi="Times New Roman" w:cs="Times New Roman" w:eastAsiaTheme="majorEastAsia"/>
                <w:color w:val="000000"/>
                <w:sz w:val="22"/>
                <w:szCs w:val="22"/>
                <w:lang w:val="en-US" w:eastAsia="zh-CN"/>
              </w:rPr>
              <w:t>城市研究相关</w:t>
            </w:r>
            <w:r>
              <w:rPr>
                <w:rFonts w:hint="default" w:ascii="Times New Roman" w:hAnsi="Times New Roman" w:cs="Times New Roman" w:eastAsiaTheme="majorEastAsia"/>
                <w:color w:val="000000"/>
                <w:sz w:val="22"/>
                <w:szCs w:val="22"/>
              </w:rPr>
              <w:t>外文资料并用外文撰写专业资料，具有一定的跨文化专业交流能力。</w:t>
            </w:r>
          </w:p>
          <w:p w14:paraId="0F6B5AC6">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（二）研究领域</w:t>
            </w:r>
          </w:p>
          <w:p w14:paraId="5587F919">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（1）全球城市理论</w:t>
            </w:r>
          </w:p>
          <w:p w14:paraId="3D789F08">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（2）全球城市经济与空间</w:t>
            </w:r>
          </w:p>
          <w:p w14:paraId="78B2BB8B">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（3）全球城市治理</w:t>
            </w:r>
          </w:p>
          <w:p w14:paraId="36EDAE60">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（三）学术地位与研究成果</w:t>
            </w:r>
          </w:p>
          <w:p w14:paraId="7DC3BA35">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lang w:val="en-US" w:eastAsia="zh-CN"/>
              </w:rPr>
            </w:pPr>
            <w:r>
              <w:rPr>
                <w:rFonts w:hint="default" w:ascii="Times New Roman" w:hAnsi="Times New Roman" w:cs="Times New Roman" w:eastAsiaTheme="majorEastAsia"/>
                <w:color w:val="000000"/>
                <w:sz w:val="22"/>
                <w:szCs w:val="22"/>
              </w:rPr>
              <w:t>本专业现有教授3名，副教授4名，均具有相关专业博士学位。近5年来，本专业导师承担国家社会科学基金重大项目1项，国家自然科学基金项目课题2项，省部级研究项目</w:t>
            </w:r>
            <w:r>
              <w:rPr>
                <w:rFonts w:hint="default" w:ascii="Times New Roman" w:hAnsi="Times New Roman" w:cs="Times New Roman" w:eastAsiaTheme="majorEastAsia"/>
                <w:color w:val="000000"/>
                <w:sz w:val="22"/>
                <w:szCs w:val="22"/>
                <w:lang w:val="en-US" w:eastAsia="zh-CN"/>
              </w:rPr>
              <w:t>40</w:t>
            </w:r>
            <w:r>
              <w:rPr>
                <w:rFonts w:hint="default" w:ascii="Times New Roman" w:hAnsi="Times New Roman" w:cs="Times New Roman" w:eastAsiaTheme="majorEastAsia"/>
                <w:color w:val="000000"/>
                <w:sz w:val="22"/>
                <w:szCs w:val="22"/>
              </w:rPr>
              <w:t>余项。方向导师研究成果发表在</w:t>
            </w:r>
            <w:r>
              <w:rPr>
                <w:rFonts w:hint="default" w:ascii="Times New Roman" w:hAnsi="Times New Roman" w:cs="Times New Roman" w:eastAsiaTheme="majorEastAsia"/>
                <w:color w:val="000000"/>
                <w:sz w:val="22"/>
                <w:szCs w:val="22"/>
                <w:lang w:eastAsia="zh-CN"/>
              </w:rPr>
              <w:t>《</w:t>
            </w:r>
            <w:r>
              <w:rPr>
                <w:rFonts w:hint="default" w:ascii="Times New Roman" w:hAnsi="Times New Roman" w:cs="Times New Roman" w:eastAsiaTheme="majorEastAsia"/>
                <w:color w:val="000000"/>
                <w:sz w:val="22"/>
                <w:szCs w:val="22"/>
                <w:lang w:val="en-US" w:eastAsia="zh-CN"/>
              </w:rPr>
              <w:t>经济研究》</w:t>
            </w:r>
            <w:r>
              <w:rPr>
                <w:rFonts w:hint="default" w:ascii="Times New Roman" w:hAnsi="Times New Roman" w:cs="Times New Roman" w:eastAsiaTheme="majorEastAsia"/>
                <w:color w:val="000000"/>
                <w:sz w:val="22"/>
                <w:szCs w:val="22"/>
              </w:rPr>
              <w:t>、《经济评论》、《世界经济研究》、《上海经济研究》、Cities、Applied Economics、Growth and Change、Tourism Review、</w:t>
            </w:r>
            <w:r>
              <w:rPr>
                <w:rFonts w:hint="default" w:ascii="Times New Roman" w:hAnsi="Times New Roman" w:cs="Times New Roman" w:eastAsiaTheme="majorEastAsia"/>
                <w:color w:val="000000"/>
                <w:sz w:val="22"/>
                <w:szCs w:val="22"/>
                <w:lang w:val="en-US"/>
              </w:rPr>
              <w:t>I</w:t>
            </w:r>
            <w:r>
              <w:rPr>
                <w:rFonts w:hint="default" w:ascii="Times New Roman" w:hAnsi="Times New Roman" w:cs="Times New Roman" w:eastAsiaTheme="majorEastAsia"/>
                <w:color w:val="000000"/>
                <w:sz w:val="22"/>
                <w:szCs w:val="22"/>
              </w:rPr>
              <w:t>nternational Regional Science Review等国内外重要学术刊物上发表高质量论文</w:t>
            </w:r>
            <w:r>
              <w:rPr>
                <w:rFonts w:hint="default" w:ascii="Times New Roman" w:hAnsi="Times New Roman" w:cs="Times New Roman" w:eastAsiaTheme="majorEastAsia"/>
                <w:color w:val="000000"/>
                <w:sz w:val="22"/>
                <w:szCs w:val="22"/>
                <w:lang w:val="en-US"/>
              </w:rPr>
              <w:t>70</w:t>
            </w:r>
            <w:r>
              <w:rPr>
                <w:rFonts w:hint="default" w:ascii="Times New Roman" w:hAnsi="Times New Roman" w:cs="Times New Roman" w:eastAsiaTheme="majorEastAsia"/>
                <w:color w:val="000000"/>
                <w:sz w:val="22"/>
                <w:szCs w:val="22"/>
              </w:rPr>
              <w:t>多篇。</w:t>
            </w:r>
            <w:r>
              <w:rPr>
                <w:rFonts w:hint="default" w:ascii="Times New Roman" w:hAnsi="Times New Roman" w:cs="Times New Roman" w:eastAsiaTheme="majorEastAsia"/>
                <w:color w:val="000000"/>
                <w:sz w:val="22"/>
                <w:szCs w:val="22"/>
                <w:lang w:val="en-US" w:eastAsia="zh-CN"/>
              </w:rPr>
              <w:t>同时，本方向导师积极参与国家和地方发展的决策咨询工作，多份决策咨询专报收到省部级及以上领导的肯定性批示。</w:t>
            </w:r>
          </w:p>
          <w:p w14:paraId="2E2E9AF9">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（四）课程设置与学分要求</w:t>
            </w:r>
          </w:p>
          <w:p w14:paraId="76179FA9">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硕士研究生课程包括学位公共课、学位基础课、学位专业课和专业选修课。学位公共课包括政治理论和外语等公共必修课程。学位基础课和学位专业课为本专业的必修课程。专业选修课包括面向本专业的专业必修课程和跨专业选修课程。</w:t>
            </w:r>
          </w:p>
          <w:p w14:paraId="730A24A0">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本专业学习实行</w:t>
            </w:r>
            <w:bookmarkStart w:id="1" w:name="_GoBack"/>
            <w:bookmarkEnd w:id="1"/>
            <w:r>
              <w:rPr>
                <w:rFonts w:hint="default" w:ascii="Times New Roman" w:hAnsi="Times New Roman" w:cs="Times New Roman" w:eastAsiaTheme="majorEastAsia"/>
                <w:color w:val="000000"/>
                <w:sz w:val="22"/>
                <w:szCs w:val="22"/>
              </w:rPr>
              <w:t>学分制。要求总学分大于或等于</w:t>
            </w:r>
            <w:r>
              <w:rPr>
                <w:rFonts w:hint="eastAsia" w:cs="Times New Roman" w:eastAsiaTheme="majorEastAsia"/>
                <w:color w:val="000000"/>
                <w:sz w:val="22"/>
                <w:szCs w:val="22"/>
                <w:lang w:val="en-US" w:eastAsia="zh-CN"/>
              </w:rPr>
              <w:t>41</w:t>
            </w:r>
            <w:r>
              <w:rPr>
                <w:rFonts w:hint="default" w:ascii="Times New Roman" w:hAnsi="Times New Roman" w:cs="Times New Roman" w:eastAsiaTheme="majorEastAsia"/>
                <w:color w:val="000000"/>
                <w:sz w:val="22"/>
                <w:szCs w:val="22"/>
              </w:rPr>
              <w:t>学分，其中：</w:t>
            </w:r>
          </w:p>
          <w:p w14:paraId="395A9610">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1．学位公共课（必修）5学分。</w:t>
            </w:r>
          </w:p>
          <w:p w14:paraId="0CEF8E09">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2．学位基础课（必修）11 学分，学位专业课（必修）12学分。</w:t>
            </w:r>
          </w:p>
          <w:p w14:paraId="5DC85F42">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3. 专业选修课大于或等于</w:t>
            </w:r>
            <w:r>
              <w:rPr>
                <w:rFonts w:hint="eastAsia" w:cs="Times New Roman" w:eastAsiaTheme="majorEastAsia"/>
                <w:color w:val="000000"/>
                <w:sz w:val="22"/>
                <w:szCs w:val="22"/>
                <w:lang w:val="en-US" w:eastAsia="zh-CN"/>
              </w:rPr>
              <w:t>10</w:t>
            </w:r>
            <w:r>
              <w:rPr>
                <w:rFonts w:hint="default" w:ascii="Times New Roman" w:hAnsi="Times New Roman" w:cs="Times New Roman" w:eastAsiaTheme="majorEastAsia"/>
                <w:color w:val="000000"/>
                <w:sz w:val="22"/>
                <w:szCs w:val="22"/>
              </w:rPr>
              <w:t>学分。</w:t>
            </w:r>
          </w:p>
          <w:p w14:paraId="5494DDD9">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（五）教学和培养方式</w:t>
            </w:r>
          </w:p>
          <w:p w14:paraId="2DF185BA">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color w:val="000000"/>
                <w:sz w:val="22"/>
                <w:szCs w:val="22"/>
              </w:rPr>
            </w:pPr>
            <w:r>
              <w:rPr>
                <w:rFonts w:hint="default" w:ascii="Times New Roman" w:hAnsi="Times New Roman" w:cs="Times New Roman" w:eastAsiaTheme="majorEastAsia"/>
                <w:color w:val="000000"/>
                <w:sz w:val="22"/>
                <w:szCs w:val="22"/>
              </w:rPr>
              <w:t>在研究生入学后第一学期内，通过师生互选，为每位研究生配备一位或多位导师。一般采取以导师指导为主，导师与学科指导小组集体培养相结合的方式。</w:t>
            </w:r>
          </w:p>
          <w:p w14:paraId="4703A76D">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default" w:ascii="Times New Roman" w:hAnsi="Times New Roman" w:cs="Times New Roman" w:eastAsiaTheme="majorEastAsia"/>
                <w:sz w:val="22"/>
                <w:szCs w:val="22"/>
              </w:rPr>
            </w:pPr>
            <w:r>
              <w:rPr>
                <w:rFonts w:hint="default" w:ascii="Times New Roman" w:hAnsi="Times New Roman" w:cs="Times New Roman" w:eastAsiaTheme="majorEastAsia"/>
                <w:color w:val="000000"/>
                <w:sz w:val="22"/>
                <w:szCs w:val="22"/>
              </w:rPr>
              <w:t>在培养过程中，采取课程教学和课题研究相结合的方式。其中，专业课程的教学以教师讲授和课堂讨论相结合的方式进行。课题研究主要依托导师主持的科研项目进行。</w:t>
            </w:r>
          </w:p>
          <w:p w14:paraId="73766071">
            <w:pPr>
              <w:spacing w:line="500" w:lineRule="atLeast"/>
              <w:ind w:firstLine="480"/>
              <w:rPr>
                <w:rFonts w:hint="default" w:ascii="Times New Roman" w:hAnsi="Times New Roman" w:eastAsia="等线" w:cs="Times New Roman"/>
                <w:sz w:val="24"/>
                <w:szCs w:val="24"/>
              </w:rPr>
            </w:pPr>
          </w:p>
        </w:tc>
      </w:tr>
    </w:tbl>
    <w:p w14:paraId="01D4774D"/>
    <w:p w14:paraId="10823217">
      <w:pPr>
        <w:spacing w:line="240" w:lineRule="atLeast"/>
      </w:pPr>
      <w:r>
        <w:t xml:space="preserve"> </w:t>
      </w:r>
    </w:p>
    <w:p w14:paraId="6DC85ED0">
      <w:r>
        <w:t xml:space="preserve"> </w:t>
      </w:r>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637306"/>
      <w:docPartObj>
        <w:docPartGallery w:val="autotext"/>
      </w:docPartObj>
    </w:sdtPr>
    <w:sdtContent>
      <w:p w14:paraId="6B6CE60E">
        <w:pPr>
          <w:pStyle w:val="8"/>
          <w:jc w:val="center"/>
        </w:pPr>
        <w:r>
          <w:fldChar w:fldCharType="begin"/>
        </w:r>
        <w:r>
          <w:instrText xml:space="preserve">PAGE   \* MERGEFORMAT</w:instrText>
        </w:r>
        <w:r>
          <w:fldChar w:fldCharType="separate"/>
        </w:r>
        <w:r>
          <w:rPr>
            <w:lang w:val="zh-CN"/>
          </w:rPr>
          <w:t>2</w:t>
        </w:r>
        <w:r>
          <w:fldChar w:fldCharType="end"/>
        </w:r>
      </w:p>
    </w:sdtContent>
  </w:sdt>
  <w:p w14:paraId="610CF29D">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noPunctuationKerning w:val="1"/>
  <w:characterSpacingControl w:val="compressPunctuation"/>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9F6"/>
    <w:rsid w:val="00034C60"/>
    <w:rsid w:val="000B77AA"/>
    <w:rsid w:val="0014417E"/>
    <w:rsid w:val="001A3387"/>
    <w:rsid w:val="0025073C"/>
    <w:rsid w:val="00252EAE"/>
    <w:rsid w:val="00413993"/>
    <w:rsid w:val="004D01C4"/>
    <w:rsid w:val="00606CC0"/>
    <w:rsid w:val="00620544"/>
    <w:rsid w:val="00686567"/>
    <w:rsid w:val="006926ED"/>
    <w:rsid w:val="006B4D47"/>
    <w:rsid w:val="006C6EE8"/>
    <w:rsid w:val="00806B5A"/>
    <w:rsid w:val="00846D84"/>
    <w:rsid w:val="00883F6B"/>
    <w:rsid w:val="00960830"/>
    <w:rsid w:val="00A04352"/>
    <w:rsid w:val="00A6360E"/>
    <w:rsid w:val="00AB68B9"/>
    <w:rsid w:val="00AE07F0"/>
    <w:rsid w:val="00B05952"/>
    <w:rsid w:val="00B6299B"/>
    <w:rsid w:val="00C17841"/>
    <w:rsid w:val="00C70A00"/>
    <w:rsid w:val="00C737AD"/>
    <w:rsid w:val="00CA79D0"/>
    <w:rsid w:val="00CB5C2E"/>
    <w:rsid w:val="00CB5E1E"/>
    <w:rsid w:val="00DB5C81"/>
    <w:rsid w:val="00DF0383"/>
    <w:rsid w:val="00E67238"/>
    <w:rsid w:val="00EE55EA"/>
    <w:rsid w:val="00EF196B"/>
    <w:rsid w:val="00F049F6"/>
    <w:rsid w:val="00F47221"/>
    <w:rsid w:val="00F502FD"/>
    <w:rsid w:val="00FC2A1C"/>
    <w:rsid w:val="00FF7481"/>
    <w:rsid w:val="331E250E"/>
    <w:rsid w:val="34137CE0"/>
    <w:rsid w:val="48C2749D"/>
    <w:rsid w:val="4CF75B47"/>
    <w:rsid w:val="58CF741A"/>
    <w:rsid w:val="5F7861FA"/>
    <w:rsid w:val="65D15E63"/>
    <w:rsid w:val="78005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sz w:val="21"/>
      <w:szCs w:val="21"/>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ascii="宋体" w:hAnsi="宋体" w:cs="宋体"/>
      <w:b/>
      <w:bCs/>
      <w:kern w:val="44"/>
      <w:sz w:val="48"/>
      <w:szCs w:val="48"/>
    </w:rPr>
  </w:style>
  <w:style w:type="paragraph" w:styleId="3">
    <w:name w:val="heading 2"/>
    <w:basedOn w:val="1"/>
    <w:next w:val="1"/>
    <w:qFormat/>
    <w:uiPriority w:val="0"/>
    <w:pPr>
      <w:spacing w:before="100" w:beforeAutospacing="1" w:after="100" w:afterAutospacing="1"/>
      <w:jc w:val="left"/>
      <w:outlineLvl w:val="1"/>
    </w:pPr>
    <w:rPr>
      <w:rFonts w:ascii="宋体" w:hAnsi="宋体" w:cs="宋体"/>
      <w:b/>
      <w:bCs/>
      <w:sz w:val="36"/>
      <w:szCs w:val="36"/>
    </w:rPr>
  </w:style>
  <w:style w:type="paragraph" w:styleId="4">
    <w:name w:val="heading 3"/>
    <w:basedOn w:val="1"/>
    <w:next w:val="1"/>
    <w:qFormat/>
    <w:uiPriority w:val="0"/>
    <w:pPr>
      <w:spacing w:before="100" w:beforeAutospacing="1" w:after="100" w:afterAutospacing="1"/>
      <w:jc w:val="left"/>
      <w:outlineLvl w:val="2"/>
    </w:pPr>
    <w:rPr>
      <w:rFonts w:ascii="宋体" w:hAnsi="宋体" w:cs="宋体"/>
      <w:b/>
      <w:bCs/>
      <w:sz w:val="27"/>
      <w:szCs w:val="27"/>
    </w:rPr>
  </w:style>
  <w:style w:type="paragraph" w:styleId="5">
    <w:name w:val="heading 4"/>
    <w:basedOn w:val="1"/>
    <w:next w:val="1"/>
    <w:qFormat/>
    <w:uiPriority w:val="0"/>
    <w:pPr>
      <w:spacing w:before="100" w:beforeAutospacing="1" w:after="100" w:afterAutospacing="1"/>
      <w:jc w:val="left"/>
      <w:outlineLvl w:val="3"/>
    </w:pPr>
    <w:rPr>
      <w:rFonts w:ascii="宋体" w:hAnsi="宋体" w:cs="宋体"/>
      <w:b/>
      <w:bCs/>
      <w:sz w:val="24"/>
      <w:szCs w:val="24"/>
    </w:rPr>
  </w:style>
  <w:style w:type="paragraph" w:styleId="6">
    <w:name w:val="heading 5"/>
    <w:basedOn w:val="1"/>
    <w:next w:val="1"/>
    <w:qFormat/>
    <w:uiPriority w:val="0"/>
    <w:pPr>
      <w:spacing w:before="100" w:beforeAutospacing="1" w:after="100" w:afterAutospacing="1"/>
      <w:jc w:val="left"/>
      <w:outlineLvl w:val="4"/>
    </w:pPr>
    <w:rPr>
      <w:rFonts w:ascii="宋体" w:hAnsi="宋体" w:cs="宋体"/>
      <w:b/>
      <w:bCs/>
      <w:sz w:val="20"/>
      <w:szCs w:val="20"/>
    </w:rPr>
  </w:style>
  <w:style w:type="paragraph" w:styleId="7">
    <w:name w:val="heading 6"/>
    <w:basedOn w:val="1"/>
    <w:next w:val="1"/>
    <w:qFormat/>
    <w:uiPriority w:val="0"/>
    <w:pPr>
      <w:spacing w:before="100" w:beforeAutospacing="1" w:after="100" w:afterAutospacing="1"/>
      <w:jc w:val="left"/>
      <w:outlineLvl w:val="5"/>
    </w:pPr>
    <w:rPr>
      <w:rFonts w:ascii="宋体" w:hAnsi="宋体" w:cs="宋体"/>
      <w:b/>
      <w:bCs/>
      <w:sz w:val="15"/>
      <w:szCs w:val="15"/>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8">
    <w:name w:val="footer"/>
    <w:basedOn w:val="1"/>
    <w:link w:val="29"/>
    <w:qFormat/>
    <w:uiPriority w:val="99"/>
    <w:pPr>
      <w:snapToGrid w:val="0"/>
      <w:jc w:val="left"/>
    </w:pPr>
    <w:rPr>
      <w:sz w:val="18"/>
      <w:szCs w:val="18"/>
    </w:rPr>
  </w:style>
  <w:style w:type="paragraph" w:styleId="9">
    <w:name w:val="header"/>
    <w:basedOn w:val="1"/>
    <w:qFormat/>
    <w:uiPriority w:val="0"/>
    <w:pPr>
      <w:snapToGrid w:val="0"/>
      <w:jc w:val="center"/>
    </w:pPr>
    <w:rPr>
      <w:sz w:val="18"/>
      <w:szCs w:val="18"/>
    </w:rPr>
  </w:style>
  <w:style w:type="paragraph" w:styleId="1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paragraph" w:styleId="11">
    <w:name w:val="Normal (Web)"/>
    <w:basedOn w:val="1"/>
    <w:qFormat/>
    <w:uiPriority w:val="0"/>
    <w:pPr>
      <w:spacing w:before="100" w:beforeAutospacing="1" w:after="100" w:afterAutospacing="1"/>
      <w:jc w:val="left"/>
    </w:pPr>
    <w:rPr>
      <w:rFonts w:ascii="宋体" w:hAnsi="宋体" w:cs="宋体"/>
      <w:sz w:val="24"/>
      <w:szCs w:val="24"/>
    </w:rPr>
  </w:style>
  <w:style w:type="character" w:customStyle="1" w:styleId="14">
    <w:name w:val="标题 1 Char"/>
    <w:basedOn w:val="13"/>
    <w:qFormat/>
    <w:uiPriority w:val="0"/>
    <w:rPr>
      <w:rFonts w:hint="eastAsia" w:ascii="宋体" w:hAnsi="宋体" w:eastAsia="宋体"/>
      <w:b/>
      <w:bCs/>
      <w:kern w:val="44"/>
      <w:sz w:val="44"/>
      <w:szCs w:val="44"/>
    </w:rPr>
  </w:style>
  <w:style w:type="character" w:customStyle="1" w:styleId="15">
    <w:name w:val="标题 2 Char"/>
    <w:basedOn w:val="13"/>
    <w:qFormat/>
    <w:uiPriority w:val="0"/>
    <w:rPr>
      <w:rFonts w:hint="default" w:asciiTheme="majorHAnsi" w:hAnsiTheme="majorHAnsi" w:eastAsiaTheme="majorEastAsia" w:cstheme="majorBidi"/>
      <w:b/>
      <w:bCs/>
      <w:sz w:val="32"/>
      <w:szCs w:val="32"/>
    </w:rPr>
  </w:style>
  <w:style w:type="character" w:customStyle="1" w:styleId="16">
    <w:name w:val="标题 3 Char"/>
    <w:basedOn w:val="13"/>
    <w:qFormat/>
    <w:uiPriority w:val="0"/>
    <w:rPr>
      <w:rFonts w:hint="eastAsia" w:ascii="宋体" w:hAnsi="宋体" w:eastAsia="宋体"/>
      <w:b/>
      <w:bCs/>
      <w:sz w:val="32"/>
      <w:szCs w:val="32"/>
    </w:rPr>
  </w:style>
  <w:style w:type="character" w:customStyle="1" w:styleId="17">
    <w:name w:val="标题 4 Char"/>
    <w:basedOn w:val="13"/>
    <w:qFormat/>
    <w:uiPriority w:val="0"/>
    <w:rPr>
      <w:rFonts w:hint="default" w:asciiTheme="majorHAnsi" w:hAnsiTheme="majorHAnsi" w:eastAsiaTheme="majorEastAsia" w:cstheme="majorBidi"/>
      <w:b/>
      <w:bCs/>
      <w:sz w:val="28"/>
      <w:szCs w:val="28"/>
    </w:rPr>
  </w:style>
  <w:style w:type="character" w:customStyle="1" w:styleId="18">
    <w:name w:val="标题 5 Char"/>
    <w:basedOn w:val="13"/>
    <w:qFormat/>
    <w:uiPriority w:val="0"/>
    <w:rPr>
      <w:rFonts w:hint="eastAsia" w:ascii="宋体" w:hAnsi="宋体" w:eastAsia="宋体"/>
      <w:b/>
      <w:bCs/>
      <w:sz w:val="28"/>
      <w:szCs w:val="28"/>
    </w:rPr>
  </w:style>
  <w:style w:type="character" w:customStyle="1" w:styleId="19">
    <w:name w:val="标题 6 Char"/>
    <w:basedOn w:val="13"/>
    <w:qFormat/>
    <w:uiPriority w:val="0"/>
    <w:rPr>
      <w:rFonts w:hint="default" w:asciiTheme="majorHAnsi" w:hAnsiTheme="majorHAnsi" w:eastAsiaTheme="majorEastAsia" w:cstheme="majorBidi"/>
      <w:b/>
      <w:bCs/>
      <w:sz w:val="24"/>
      <w:szCs w:val="24"/>
    </w:rPr>
  </w:style>
  <w:style w:type="character" w:customStyle="1" w:styleId="20">
    <w:name w:val="HTML 预设格式 Char"/>
    <w:basedOn w:val="13"/>
    <w:uiPriority w:val="0"/>
    <w:rPr>
      <w:rFonts w:hint="default" w:ascii="Courier New" w:hAnsi="Courier New" w:eastAsia="宋体" w:cs="Courier New"/>
    </w:rPr>
  </w:style>
  <w:style w:type="character" w:customStyle="1" w:styleId="21">
    <w:name w:val="页眉 Char"/>
    <w:basedOn w:val="13"/>
    <w:qFormat/>
    <w:uiPriority w:val="0"/>
    <w:rPr>
      <w:rFonts w:hint="eastAsia" w:ascii="宋体" w:hAnsi="宋体" w:eastAsia="宋体"/>
      <w:sz w:val="18"/>
      <w:szCs w:val="18"/>
    </w:rPr>
  </w:style>
  <w:style w:type="character" w:customStyle="1" w:styleId="22">
    <w:name w:val="页脚 Char"/>
    <w:basedOn w:val="13"/>
    <w:uiPriority w:val="0"/>
    <w:rPr>
      <w:rFonts w:hint="eastAsia" w:ascii="宋体" w:hAnsi="宋体" w:eastAsia="宋体"/>
      <w:sz w:val="18"/>
      <w:szCs w:val="18"/>
    </w:rPr>
  </w:style>
  <w:style w:type="paragraph" w:styleId="23">
    <w:name w:val="List Paragraph"/>
    <w:basedOn w:val="1"/>
    <w:qFormat/>
    <w:uiPriority w:val="99"/>
    <w:pPr>
      <w:ind w:firstLine="420" w:firstLineChars="200"/>
    </w:pPr>
  </w:style>
  <w:style w:type="paragraph" w:customStyle="1" w:styleId="24">
    <w:name w:val="msochpdefault"/>
    <w:basedOn w:val="1"/>
    <w:qFormat/>
    <w:uiPriority w:val="0"/>
    <w:pPr>
      <w:jc w:val="left"/>
    </w:pPr>
    <w:rPr>
      <w:rFonts w:ascii="宋体" w:hAnsi="宋体" w:cs="宋体"/>
      <w:sz w:val="20"/>
      <w:szCs w:val="20"/>
    </w:rPr>
  </w:style>
  <w:style w:type="character" w:customStyle="1" w:styleId="25">
    <w:name w:val="10"/>
    <w:basedOn w:val="13"/>
    <w:qFormat/>
    <w:uiPriority w:val="0"/>
    <w:rPr>
      <w:rFonts w:hint="default" w:ascii="Times New Roman" w:hAnsi="Times New Roman" w:cs="Times New Roman"/>
    </w:rPr>
  </w:style>
  <w:style w:type="character" w:customStyle="1" w:styleId="26">
    <w:name w:val="15"/>
    <w:basedOn w:val="13"/>
    <w:qFormat/>
    <w:uiPriority w:val="0"/>
    <w:rPr>
      <w:rFonts w:hint="eastAsia" w:ascii="宋体" w:hAnsi="宋体" w:eastAsia="宋体"/>
    </w:rPr>
  </w:style>
  <w:style w:type="character" w:customStyle="1" w:styleId="27">
    <w:name w:val="16"/>
    <w:basedOn w:val="13"/>
    <w:qFormat/>
    <w:uiPriority w:val="0"/>
    <w:rPr>
      <w:rFonts w:hint="eastAsia" w:ascii="宋体" w:hAnsi="宋体" w:eastAsia="宋体"/>
    </w:rPr>
  </w:style>
  <w:style w:type="paragraph" w:customStyle="1" w:styleId="28">
    <w:name w:val="paragraph"/>
    <w:basedOn w:val="1"/>
    <w:qFormat/>
    <w:uiPriority w:val="0"/>
    <w:pPr>
      <w:spacing w:before="100" w:beforeAutospacing="1" w:after="100" w:afterAutospacing="1"/>
      <w:jc w:val="left"/>
    </w:pPr>
    <w:rPr>
      <w:rFonts w:ascii="宋体" w:hAnsi="宋体" w:cs="宋体"/>
      <w:sz w:val="24"/>
      <w:szCs w:val="24"/>
    </w:rPr>
  </w:style>
  <w:style w:type="character" w:customStyle="1" w:styleId="29">
    <w:name w:val="页脚 字符"/>
    <w:basedOn w:val="13"/>
    <w:link w:val="8"/>
    <w:qFormat/>
    <w:uiPriority w:val="99"/>
    <w:rPr>
      <w:rFonts w:eastAsia="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8699</Words>
  <Characters>9351</Characters>
  <Lines>63</Lines>
  <Paragraphs>17</Paragraphs>
  <TotalTime>5</TotalTime>
  <ScaleCrop>false</ScaleCrop>
  <LinksUpToDate>false</LinksUpToDate>
  <CharactersWithSpaces>9478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2024-07-01T07:07:00Z</dcterms:created>
  <dc:creator>shnu</dc:creator>
  <cp:lastModifiedBy>崔百胜</cp:lastModifiedBy>
  <dcterms:modified xsi:type="dcterms:W3CDTF">2025-09-18T13:59:47Z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eyJoZGlkIjoiNDc0NWI0MTRiMDY2MTY5NDdlOTZmYjEwMzMzZTc1YzciLCJ1c2VySWQiOiIxNjM1MjUwNzQxIn0=</vt:lpwstr>
  </property>
  <property fmtid="{D5CDD505-2E9C-101B-9397-08002B2CF9AE}" pid="3" name="KSOProductBuildVer">
    <vt:lpwstr>2052-12.1.0.21541</vt:lpwstr>
  </property>
  <property fmtid="{D5CDD505-2E9C-101B-9397-08002B2CF9AE}" pid="4" name="ICV">
    <vt:lpwstr>61E230F9EA5F431CBFC400F396038D29_12</vt:lpwstr>
  </property>
</Properties>
</file>